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1D8D" w:rsidRPr="00980024" w:rsidRDefault="002B1D8D" w:rsidP="00A42448">
      <w:pPr>
        <w:rPr>
          <w:b w:val="0"/>
          <w:sz w:val="20"/>
          <w:szCs w:val="20"/>
        </w:rPr>
      </w:pPr>
      <w:r w:rsidRPr="00980024">
        <w:rPr>
          <w:b w:val="0"/>
          <w:sz w:val="20"/>
          <w:szCs w:val="20"/>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2B1D8D" w:rsidRPr="00A42448" w:rsidTr="00A42448">
        <w:trPr>
          <w:trHeight w:val="648"/>
        </w:trPr>
        <w:tc>
          <w:tcPr>
            <w:tcW w:w="9540" w:type="dxa"/>
            <w:shd w:val="clear" w:color="auto" w:fill="252593"/>
            <w:vAlign w:val="center"/>
          </w:tcPr>
          <w:p w:rsidR="002B1D8D" w:rsidRPr="00322DC5" w:rsidRDefault="002C1AB1" w:rsidP="00A42448">
            <w:bookmarkStart w:id="0" w:name="_Toc116021976"/>
            <w:bookmarkStart w:id="1" w:name="_Toc116219504"/>
            <w:bookmarkStart w:id="2" w:name="Text33"/>
            <w:bookmarkEnd w:id="0"/>
            <w:bookmarkEnd w:id="1"/>
            <w:bookmarkEnd w:id="2"/>
            <w:r w:rsidRPr="00322DC5">
              <w:t>Microsoft</w:t>
            </w:r>
            <w:r w:rsidRPr="00A42448">
              <w:rPr>
                <w:vertAlign w:val="superscript"/>
                <w:lang w:val="en-US"/>
              </w:rPr>
              <w:sym w:font="Symbol" w:char="F0E2"/>
            </w:r>
            <w:r w:rsidRPr="00322DC5">
              <w:rPr>
                <w:vertAlign w:val="superscript"/>
              </w:rPr>
              <w:t xml:space="preserve"> </w:t>
            </w:r>
            <w:r w:rsidRPr="00322DC5">
              <w:t>SQL Server</w:t>
            </w:r>
            <w:r w:rsidRPr="00A42448">
              <w:rPr>
                <w:vertAlign w:val="superscript"/>
                <w:lang w:val="en-US"/>
              </w:rPr>
              <w:sym w:font="Symbol" w:char="F0E2"/>
            </w:r>
            <w:r w:rsidRPr="00322DC5">
              <w:t xml:space="preserve"> 2014 Business Intelligence </w:t>
            </w:r>
            <w:r w:rsidR="00A42448" w:rsidRPr="00B91802">
              <w:rPr>
                <w:u w:val="single"/>
                <w:lang w:val="en-US"/>
              </w:rPr>
              <w:fldChar w:fldCharType="begin">
                <w:ffData>
                  <w:name w:val=""/>
                  <w:enabled/>
                  <w:calcOnExit w:val="0"/>
                  <w:textInput/>
                </w:ffData>
              </w:fldChar>
            </w:r>
            <w:r w:rsidR="00A42448" w:rsidRPr="00322DC5">
              <w:rPr>
                <w:u w:val="single"/>
              </w:rPr>
              <w:instrText xml:space="preserve"> FORMTEXT </w:instrText>
            </w:r>
            <w:r w:rsidR="00A42448" w:rsidRPr="00B91802">
              <w:rPr>
                <w:u w:val="single"/>
                <w:lang w:val="en-US"/>
              </w:rPr>
            </w:r>
            <w:r w:rsidR="00A42448" w:rsidRPr="00B91802">
              <w:rPr>
                <w:u w:val="single"/>
                <w:lang w:val="en-US"/>
              </w:rPr>
              <w:fldChar w:fldCharType="separate"/>
            </w:r>
            <w:bookmarkStart w:id="3" w:name="_GoBack"/>
            <w:r w:rsidR="00A42448" w:rsidRPr="00B91802">
              <w:rPr>
                <w:noProof/>
                <w:u w:val="single"/>
                <w:lang w:val="en-US"/>
              </w:rPr>
              <w:t> </w:t>
            </w:r>
            <w:r w:rsidR="00A42448" w:rsidRPr="00B91802">
              <w:rPr>
                <w:noProof/>
                <w:u w:val="single"/>
                <w:lang w:val="en-US"/>
              </w:rPr>
              <w:t> </w:t>
            </w:r>
            <w:r w:rsidR="00A42448" w:rsidRPr="00B91802">
              <w:rPr>
                <w:noProof/>
                <w:u w:val="single"/>
                <w:lang w:val="en-US"/>
              </w:rPr>
              <w:t> </w:t>
            </w:r>
            <w:r w:rsidR="00A42448" w:rsidRPr="00B91802">
              <w:rPr>
                <w:noProof/>
                <w:u w:val="single"/>
                <w:lang w:val="en-US"/>
              </w:rPr>
              <w:t> </w:t>
            </w:r>
            <w:r w:rsidR="00A42448" w:rsidRPr="00B91802">
              <w:rPr>
                <w:noProof/>
                <w:u w:val="single"/>
                <w:lang w:val="en-US"/>
              </w:rPr>
              <w:t> </w:t>
            </w:r>
            <w:bookmarkEnd w:id="3"/>
            <w:r w:rsidR="00A42448" w:rsidRPr="00B91802">
              <w:rPr>
                <w:u w:val="single"/>
                <w:lang w:val="en-US"/>
              </w:rPr>
              <w:fldChar w:fldCharType="end"/>
            </w:r>
            <w:r w:rsidR="003672B0" w:rsidRPr="000F26F8">
              <w:rPr>
                <w:b w:val="0"/>
                <w:bCs/>
                <w:vertAlign w:val="superscript"/>
                <w:lang w:val="en-US"/>
              </w:rPr>
              <w:footnoteReference w:id="2"/>
            </w:r>
            <w:r w:rsidRPr="00322DC5">
              <w:rPr>
                <w:b w:val="0"/>
                <w:bCs/>
              </w:rPr>
              <w:t xml:space="preserve"> </w:t>
            </w:r>
            <w:r w:rsidRPr="00322DC5">
              <w:t>(Tempo</w:t>
            </w:r>
            <w:r w:rsidR="00A42448" w:rsidRPr="00322DC5">
              <w:t> </w:t>
            </w:r>
            <w:r w:rsidRPr="00322DC5">
              <w:t>de</w:t>
            </w:r>
            <w:r w:rsidR="00A42448" w:rsidRPr="00322DC5">
              <w:t> </w:t>
            </w:r>
            <w:r w:rsidRPr="00322DC5">
              <w:t>Execução)</w:t>
            </w:r>
            <w:r w:rsidR="002B1D8D" w:rsidRPr="00322DC5">
              <w:t xml:space="preserve"> </w:t>
            </w:r>
          </w:p>
        </w:tc>
      </w:tr>
      <w:tr w:rsidR="002B1D8D" w:rsidRPr="00A42448" w:rsidTr="009F7740">
        <w:trPr>
          <w:trHeight w:val="1371"/>
        </w:trPr>
        <w:tc>
          <w:tcPr>
            <w:tcW w:w="9540" w:type="dxa"/>
          </w:tcPr>
          <w:p w:rsidR="002B1D8D" w:rsidRPr="0077740A" w:rsidRDefault="002B1D8D" w:rsidP="00A42448">
            <w:pPr>
              <w:rPr>
                <w:szCs w:val="24"/>
              </w:rPr>
            </w:pPr>
          </w:p>
          <w:p w:rsidR="002B1D8D" w:rsidRPr="0077740A" w:rsidRDefault="002B1D8D" w:rsidP="00BA239E">
            <w:pPr>
              <w:pStyle w:val="LicenseNumber"/>
              <w:spacing w:before="120" w:after="120"/>
              <w:rPr>
                <w:sz w:val="24"/>
                <w:szCs w:val="24"/>
              </w:rPr>
            </w:pPr>
            <w:r w:rsidRPr="0077740A">
              <w:rPr>
                <w:b/>
                <w:sz w:val="24"/>
                <w:szCs w:val="24"/>
              </w:rPr>
              <w:t>Licenças de Servidor:</w:t>
            </w:r>
            <w:r w:rsidRPr="0077740A">
              <w:rPr>
                <w:sz w:val="24"/>
                <w:szCs w:val="24"/>
              </w:rPr>
              <w:t xml:space="preserve"> </w:t>
            </w:r>
            <w:r w:rsidR="000F26F8" w:rsidRPr="00D57C6D">
              <w:rPr>
                <w:rFonts w:cs="Arial"/>
                <w:b/>
                <w:sz w:val="24"/>
                <w:szCs w:val="24"/>
                <w:u w:val="single"/>
              </w:rPr>
              <w:fldChar w:fldCharType="begin">
                <w:ffData>
                  <w:name w:val="Text33"/>
                  <w:enabled/>
                  <w:calcOnExit w:val="0"/>
                  <w:textInput/>
                </w:ffData>
              </w:fldChar>
            </w:r>
            <w:r w:rsidR="000F26F8" w:rsidRPr="00D57C6D">
              <w:rPr>
                <w:rFonts w:cs="Arial"/>
                <w:sz w:val="24"/>
                <w:szCs w:val="24"/>
                <w:u w:val="single"/>
              </w:rPr>
              <w:instrText xml:space="preserve"> FORMTEXT </w:instrText>
            </w:r>
            <w:r w:rsidR="000F26F8" w:rsidRPr="00D57C6D">
              <w:rPr>
                <w:rFonts w:cs="Arial"/>
                <w:b/>
                <w:sz w:val="24"/>
                <w:szCs w:val="24"/>
                <w:u w:val="single"/>
              </w:rPr>
            </w:r>
            <w:r w:rsidR="000F26F8" w:rsidRPr="00D57C6D">
              <w:rPr>
                <w:rFonts w:cs="Arial"/>
                <w:b/>
                <w:sz w:val="24"/>
                <w:szCs w:val="24"/>
                <w:u w:val="single"/>
              </w:rPr>
              <w:fldChar w:fldCharType="separate"/>
            </w:r>
            <w:r w:rsidR="000F26F8" w:rsidRPr="00D57C6D">
              <w:rPr>
                <w:rFonts w:cs="Arial"/>
                <w:sz w:val="24"/>
                <w:szCs w:val="24"/>
                <w:u w:val="single"/>
              </w:rPr>
              <w:t> </w:t>
            </w:r>
            <w:r w:rsidR="000F26F8" w:rsidRPr="00D57C6D">
              <w:rPr>
                <w:rFonts w:cs="Arial"/>
                <w:sz w:val="24"/>
                <w:szCs w:val="24"/>
                <w:u w:val="single"/>
              </w:rPr>
              <w:t> </w:t>
            </w:r>
            <w:r w:rsidR="000F26F8" w:rsidRPr="00D57C6D">
              <w:rPr>
                <w:rFonts w:cs="Arial"/>
                <w:sz w:val="24"/>
                <w:szCs w:val="24"/>
                <w:u w:val="single"/>
              </w:rPr>
              <w:t> </w:t>
            </w:r>
            <w:r w:rsidR="000F26F8" w:rsidRPr="00D57C6D">
              <w:rPr>
                <w:rFonts w:cs="Arial"/>
                <w:sz w:val="24"/>
                <w:szCs w:val="24"/>
                <w:u w:val="single"/>
              </w:rPr>
              <w:t> </w:t>
            </w:r>
            <w:r w:rsidR="000F26F8" w:rsidRPr="00D57C6D">
              <w:rPr>
                <w:rFonts w:cs="Arial"/>
                <w:sz w:val="24"/>
                <w:szCs w:val="24"/>
                <w:u w:val="single"/>
              </w:rPr>
              <w:t> </w:t>
            </w:r>
            <w:r w:rsidR="000F26F8" w:rsidRPr="00D57C6D">
              <w:rPr>
                <w:rFonts w:cs="Arial"/>
                <w:b/>
                <w:sz w:val="24"/>
                <w:szCs w:val="24"/>
                <w:u w:val="single"/>
              </w:rPr>
              <w:fldChar w:fldCharType="end"/>
            </w:r>
            <w:r w:rsidR="003672B0" w:rsidRPr="0077740A">
              <w:rPr>
                <w:rStyle w:val="FootnoteReference"/>
                <w:rFonts w:cs="Tahoma"/>
                <w:sz w:val="24"/>
                <w:szCs w:val="24"/>
              </w:rPr>
              <w:footnoteReference w:id="3"/>
            </w:r>
            <w:r w:rsidRPr="0077740A">
              <w:rPr>
                <w:sz w:val="24"/>
                <w:szCs w:val="24"/>
              </w:rPr>
              <w:t xml:space="preserve"> </w:t>
            </w:r>
          </w:p>
          <w:p w:rsidR="002B1D8D" w:rsidRPr="0077740A" w:rsidRDefault="002B1D8D" w:rsidP="00BA239E">
            <w:pPr>
              <w:pStyle w:val="LicenseNumber"/>
              <w:spacing w:before="120" w:after="120"/>
              <w:rPr>
                <w:sz w:val="24"/>
                <w:szCs w:val="24"/>
              </w:rPr>
            </w:pPr>
            <w:r w:rsidRPr="0077740A">
              <w:rPr>
                <w:b/>
                <w:sz w:val="24"/>
                <w:szCs w:val="24"/>
              </w:rPr>
              <w:t>Licenças de Acesso para Cliente do Usuário:</w:t>
            </w:r>
            <w:r w:rsidRPr="0077740A">
              <w:rPr>
                <w:sz w:val="24"/>
                <w:szCs w:val="24"/>
              </w:rPr>
              <w:t xml:space="preserve"> </w:t>
            </w:r>
            <w:r w:rsidR="000F26F8" w:rsidRPr="00D57C6D">
              <w:rPr>
                <w:rFonts w:cs="Arial"/>
                <w:b/>
                <w:sz w:val="24"/>
                <w:szCs w:val="24"/>
                <w:u w:val="single"/>
              </w:rPr>
              <w:fldChar w:fldCharType="begin">
                <w:ffData>
                  <w:name w:val=""/>
                  <w:enabled/>
                  <w:calcOnExit w:val="0"/>
                  <w:textInput/>
                </w:ffData>
              </w:fldChar>
            </w:r>
            <w:r w:rsidR="000F26F8" w:rsidRPr="00D57C6D">
              <w:rPr>
                <w:rFonts w:cs="Arial"/>
                <w:sz w:val="24"/>
                <w:szCs w:val="24"/>
                <w:u w:val="single"/>
              </w:rPr>
              <w:instrText xml:space="preserve"> FORMTEXT </w:instrText>
            </w:r>
            <w:r w:rsidR="000F26F8" w:rsidRPr="00D57C6D">
              <w:rPr>
                <w:rFonts w:cs="Arial"/>
                <w:b/>
                <w:sz w:val="24"/>
                <w:szCs w:val="24"/>
                <w:u w:val="single"/>
              </w:rPr>
            </w:r>
            <w:r w:rsidR="000F26F8" w:rsidRPr="00D57C6D">
              <w:rPr>
                <w:rFonts w:cs="Arial"/>
                <w:b/>
                <w:sz w:val="24"/>
                <w:szCs w:val="24"/>
                <w:u w:val="single"/>
              </w:rPr>
              <w:fldChar w:fldCharType="separate"/>
            </w:r>
            <w:r w:rsidR="000F26F8" w:rsidRPr="00D57C6D">
              <w:rPr>
                <w:rFonts w:cs="Arial"/>
                <w:sz w:val="24"/>
                <w:szCs w:val="24"/>
                <w:u w:val="single"/>
              </w:rPr>
              <w:t> </w:t>
            </w:r>
            <w:r w:rsidR="000F26F8" w:rsidRPr="00D57C6D">
              <w:rPr>
                <w:rFonts w:cs="Arial"/>
                <w:sz w:val="24"/>
                <w:szCs w:val="24"/>
                <w:u w:val="single"/>
              </w:rPr>
              <w:t> </w:t>
            </w:r>
            <w:r w:rsidR="000F26F8" w:rsidRPr="00D57C6D">
              <w:rPr>
                <w:rFonts w:cs="Arial"/>
                <w:sz w:val="24"/>
                <w:szCs w:val="24"/>
                <w:u w:val="single"/>
              </w:rPr>
              <w:t> </w:t>
            </w:r>
            <w:r w:rsidR="000F26F8" w:rsidRPr="00D57C6D">
              <w:rPr>
                <w:rFonts w:cs="Arial"/>
                <w:sz w:val="24"/>
                <w:szCs w:val="24"/>
                <w:u w:val="single"/>
              </w:rPr>
              <w:t> </w:t>
            </w:r>
            <w:r w:rsidR="000F26F8" w:rsidRPr="00D57C6D">
              <w:rPr>
                <w:rFonts w:cs="Arial"/>
                <w:sz w:val="24"/>
                <w:szCs w:val="24"/>
                <w:u w:val="single"/>
              </w:rPr>
              <w:t> </w:t>
            </w:r>
            <w:r w:rsidR="000F26F8" w:rsidRPr="00D57C6D">
              <w:rPr>
                <w:rFonts w:cs="Arial"/>
                <w:b/>
                <w:sz w:val="24"/>
                <w:szCs w:val="24"/>
                <w:u w:val="single"/>
              </w:rPr>
              <w:fldChar w:fldCharType="end"/>
            </w:r>
            <w:r w:rsidR="003672B0" w:rsidRPr="0077740A">
              <w:rPr>
                <w:rStyle w:val="FootnoteReference"/>
                <w:rFonts w:cs="Tahoma"/>
                <w:sz w:val="24"/>
                <w:szCs w:val="24"/>
              </w:rPr>
              <w:footnoteReference w:id="4"/>
            </w:r>
            <w:r w:rsidRPr="0077740A">
              <w:rPr>
                <w:sz w:val="24"/>
                <w:szCs w:val="24"/>
              </w:rPr>
              <w:t xml:space="preserve"> </w:t>
            </w:r>
          </w:p>
          <w:p w:rsidR="002B1D8D" w:rsidRPr="0077740A" w:rsidRDefault="002B1D8D" w:rsidP="000F26F8">
            <w:pPr>
              <w:pStyle w:val="LicenseNumber"/>
              <w:spacing w:before="120" w:after="120"/>
              <w:rPr>
                <w:sz w:val="24"/>
                <w:szCs w:val="24"/>
              </w:rPr>
            </w:pPr>
            <w:r w:rsidRPr="0077740A">
              <w:rPr>
                <w:b/>
                <w:sz w:val="24"/>
                <w:szCs w:val="24"/>
              </w:rPr>
              <w:t>Licenças de Acesso para Cliente do Dispositivo:</w:t>
            </w:r>
            <w:r w:rsidRPr="0077740A">
              <w:rPr>
                <w:sz w:val="24"/>
                <w:szCs w:val="24"/>
              </w:rPr>
              <w:t xml:space="preserve"> </w:t>
            </w:r>
            <w:r w:rsidR="000F26F8">
              <w:rPr>
                <w:b/>
                <w:sz w:val="24"/>
                <w:szCs w:val="24"/>
                <w:u w:val="single"/>
              </w:rPr>
              <w:fldChar w:fldCharType="begin">
                <w:ffData>
                  <w:name w:val=""/>
                  <w:enabled/>
                  <w:calcOnExit w:val="0"/>
                  <w:textInput/>
                </w:ffData>
              </w:fldChar>
            </w:r>
            <w:r w:rsidR="000F26F8">
              <w:rPr>
                <w:b/>
                <w:sz w:val="24"/>
                <w:szCs w:val="24"/>
                <w:u w:val="single"/>
              </w:rPr>
              <w:instrText xml:space="preserve"> FORMTEXT </w:instrText>
            </w:r>
            <w:r w:rsidR="000F26F8">
              <w:rPr>
                <w:b/>
                <w:sz w:val="24"/>
                <w:szCs w:val="24"/>
                <w:u w:val="single"/>
              </w:rPr>
            </w:r>
            <w:r w:rsidR="000F26F8">
              <w:rPr>
                <w:b/>
                <w:sz w:val="24"/>
                <w:szCs w:val="24"/>
                <w:u w:val="single"/>
              </w:rPr>
              <w:fldChar w:fldCharType="separate"/>
            </w:r>
            <w:r w:rsidR="000F26F8">
              <w:rPr>
                <w:b/>
                <w:noProof/>
                <w:sz w:val="24"/>
                <w:szCs w:val="24"/>
                <w:u w:val="single"/>
              </w:rPr>
              <w:t> </w:t>
            </w:r>
            <w:r w:rsidR="000F26F8">
              <w:rPr>
                <w:b/>
                <w:noProof/>
                <w:sz w:val="24"/>
                <w:szCs w:val="24"/>
                <w:u w:val="single"/>
              </w:rPr>
              <w:t> </w:t>
            </w:r>
            <w:r w:rsidR="000F26F8">
              <w:rPr>
                <w:b/>
                <w:noProof/>
                <w:sz w:val="24"/>
                <w:szCs w:val="24"/>
                <w:u w:val="single"/>
              </w:rPr>
              <w:t> </w:t>
            </w:r>
            <w:r w:rsidR="000F26F8">
              <w:rPr>
                <w:b/>
                <w:noProof/>
                <w:sz w:val="24"/>
                <w:szCs w:val="24"/>
                <w:u w:val="single"/>
              </w:rPr>
              <w:t> </w:t>
            </w:r>
            <w:r w:rsidR="000F26F8">
              <w:rPr>
                <w:b/>
                <w:noProof/>
                <w:sz w:val="24"/>
                <w:szCs w:val="24"/>
                <w:u w:val="single"/>
              </w:rPr>
              <w:t> </w:t>
            </w:r>
            <w:r w:rsidR="000F26F8">
              <w:rPr>
                <w:b/>
                <w:sz w:val="24"/>
                <w:szCs w:val="24"/>
                <w:u w:val="single"/>
              </w:rPr>
              <w:fldChar w:fldCharType="end"/>
            </w:r>
            <w:r w:rsidR="003672B0" w:rsidRPr="0077740A">
              <w:rPr>
                <w:rStyle w:val="FootnoteReference"/>
                <w:rFonts w:cs="Tahoma"/>
                <w:sz w:val="24"/>
                <w:szCs w:val="24"/>
              </w:rPr>
              <w:footnoteReference w:id="5"/>
            </w:r>
            <w:r w:rsidRPr="0077740A">
              <w:rPr>
                <w:sz w:val="24"/>
                <w:szCs w:val="24"/>
              </w:rPr>
              <w:t xml:space="preserve"> </w:t>
            </w:r>
          </w:p>
          <w:p w:rsidR="002B1D8D" w:rsidRPr="0077740A" w:rsidRDefault="002B1D8D" w:rsidP="00A42448">
            <w:pPr>
              <w:rPr>
                <w:szCs w:val="24"/>
              </w:rPr>
            </w:pPr>
          </w:p>
        </w:tc>
      </w:tr>
      <w:tr w:rsidR="002B1D8D" w:rsidRPr="00A42448" w:rsidTr="009F7740">
        <w:trPr>
          <w:trHeight w:val="249"/>
        </w:trPr>
        <w:tc>
          <w:tcPr>
            <w:tcW w:w="9540" w:type="dxa"/>
            <w:shd w:val="clear" w:color="auto" w:fill="000080"/>
            <w:vAlign w:val="center"/>
          </w:tcPr>
          <w:p w:rsidR="002B1D8D" w:rsidRPr="0077740A" w:rsidRDefault="002B1D8D" w:rsidP="00AD4548">
            <w:pPr>
              <w:pStyle w:val="Heading2"/>
              <w:numPr>
                <w:ilvl w:val="0"/>
                <w:numId w:val="0"/>
              </w:numPr>
              <w:rPr>
                <w:b/>
                <w:sz w:val="19"/>
              </w:rPr>
            </w:pPr>
            <w:r w:rsidRPr="0077740A">
              <w:rPr>
                <w:b/>
                <w:sz w:val="19"/>
              </w:rPr>
              <w:t>CONTRATO DE LICENÇA DE USUÁRIO FINAL</w:t>
            </w:r>
          </w:p>
        </w:tc>
      </w:tr>
    </w:tbl>
    <w:p w:rsidR="002B1D8D" w:rsidRPr="009D2719" w:rsidRDefault="002B1D8D" w:rsidP="00A42448">
      <w:pPr>
        <w:rPr>
          <w:b w:val="0"/>
          <w:sz w:val="20"/>
          <w:szCs w:val="20"/>
        </w:rPr>
      </w:pPr>
      <w:r w:rsidRPr="009D2719">
        <w:rPr>
          <w:b w:val="0"/>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rsidR="002B1D8D" w:rsidRPr="009D2719" w:rsidRDefault="002B1D8D" w:rsidP="009D2719">
      <w:pPr>
        <w:pStyle w:val="Bullet2"/>
        <w:tabs>
          <w:tab w:val="clear" w:pos="720"/>
          <w:tab w:val="left" w:pos="360"/>
        </w:tabs>
        <w:ind w:left="360" w:hanging="360"/>
        <w:rPr>
          <w:b w:val="0"/>
          <w:sz w:val="20"/>
          <w:szCs w:val="20"/>
        </w:rPr>
      </w:pPr>
      <w:r w:rsidRPr="009D2719">
        <w:rPr>
          <w:b w:val="0"/>
          <w:sz w:val="20"/>
          <w:szCs w:val="20"/>
        </w:rPr>
        <w:t>atualizações,</w:t>
      </w:r>
    </w:p>
    <w:p w:rsidR="002B1D8D" w:rsidRPr="009D2719" w:rsidRDefault="002B1D8D" w:rsidP="009D2719">
      <w:pPr>
        <w:pStyle w:val="Bullet2"/>
        <w:tabs>
          <w:tab w:val="clear" w:pos="720"/>
          <w:tab w:val="num" w:pos="360"/>
        </w:tabs>
        <w:ind w:left="360" w:hanging="360"/>
        <w:rPr>
          <w:b w:val="0"/>
          <w:sz w:val="20"/>
          <w:szCs w:val="20"/>
        </w:rPr>
      </w:pPr>
      <w:r w:rsidRPr="009D2719">
        <w:rPr>
          <w:b w:val="0"/>
          <w:sz w:val="20"/>
          <w:szCs w:val="20"/>
        </w:rPr>
        <w:t>suplementos e</w:t>
      </w:r>
    </w:p>
    <w:p w:rsidR="002B1D8D" w:rsidRPr="009D2719" w:rsidRDefault="002B1D8D" w:rsidP="009D2719">
      <w:pPr>
        <w:pStyle w:val="Bullet2"/>
        <w:tabs>
          <w:tab w:val="clear" w:pos="720"/>
          <w:tab w:val="num" w:pos="360"/>
        </w:tabs>
        <w:ind w:left="360" w:hanging="360"/>
        <w:rPr>
          <w:b w:val="0"/>
          <w:sz w:val="20"/>
          <w:szCs w:val="20"/>
        </w:rPr>
      </w:pPr>
      <w:r w:rsidRPr="009D2719">
        <w:rPr>
          <w:b w:val="0"/>
          <w:sz w:val="20"/>
          <w:szCs w:val="20"/>
        </w:rPr>
        <w:t>serviços de Internet</w:t>
      </w:r>
    </w:p>
    <w:p w:rsidR="002B1D8D" w:rsidRPr="009D2719" w:rsidRDefault="002B1D8D" w:rsidP="00A42448">
      <w:pPr>
        <w:rPr>
          <w:b w:val="0"/>
          <w:sz w:val="20"/>
          <w:szCs w:val="20"/>
        </w:rPr>
      </w:pPr>
      <w:r w:rsidRPr="009D2719">
        <w:rPr>
          <w:b w:val="0"/>
          <w:sz w:val="20"/>
          <w:szCs w:val="20"/>
        </w:rPr>
        <w:t>referentes ao presente software, salvo se outros termos acompanharem os referidos itens. Nesse caso, aplicar-se-ão seus respectivos termos. A Microsoft Corporation ou uma de suas afiliadas (coletivamente denominada “Microsoft”) licenciou o software para o Licenciante.</w:t>
      </w:r>
    </w:p>
    <w:p w:rsidR="002B1D8D" w:rsidRPr="00532330" w:rsidRDefault="002B1D8D" w:rsidP="00766F17">
      <w:pPr>
        <w:pStyle w:val="Preamble"/>
        <w:rPr>
          <w:b/>
          <w:sz w:val="20"/>
          <w:szCs w:val="20"/>
        </w:rPr>
      </w:pPr>
      <w:r w:rsidRPr="00532330">
        <w:rPr>
          <w:b/>
          <w:sz w:val="20"/>
          <w:szCs w:val="20"/>
        </w:rPr>
        <w:t>AO USAR O SOFTWARE, VOCÊ ESTARÁ ACEITANDO OS PRESENTES TERMOS. SE NÃO ACEITÁ</w:t>
      </w:r>
      <w:r w:rsidR="00766F17">
        <w:rPr>
          <w:b/>
          <w:sz w:val="20"/>
          <w:szCs w:val="20"/>
        </w:rPr>
        <w:t>­</w:t>
      </w:r>
      <w:r w:rsidRPr="00532330">
        <w:rPr>
          <w:b/>
          <w:sz w:val="20"/>
          <w:szCs w:val="20"/>
        </w:rPr>
        <w:t>LOS, NÃO USE O SOFTWARE. EM VEZ DISSO, DEVOLVA-O AO LOCAL DA COMPRA PARA</w:t>
      </w:r>
      <w:r w:rsidR="00766F17">
        <w:rPr>
          <w:b/>
          <w:sz w:val="20"/>
          <w:szCs w:val="20"/>
        </w:rPr>
        <w:t> </w:t>
      </w:r>
      <w:r w:rsidRPr="00532330">
        <w:rPr>
          <w:b/>
          <w:sz w:val="20"/>
          <w:szCs w:val="20"/>
        </w:rPr>
        <w:t xml:space="preserve">FINS DE REEMBOLSO OU CRÉDITO. </w:t>
      </w:r>
    </w:p>
    <w:p w:rsidR="002B1D8D" w:rsidRPr="00532330" w:rsidRDefault="002B1D8D" w:rsidP="00A42448">
      <w:pPr>
        <w:pStyle w:val="Preamble"/>
        <w:rPr>
          <w:b/>
          <w:sz w:val="20"/>
          <w:szCs w:val="20"/>
        </w:rPr>
      </w:pPr>
      <w:r w:rsidRPr="00532330">
        <w:rPr>
          <w:rFonts w:eastAsia="SimSun"/>
          <w:b/>
          <w:sz w:val="20"/>
          <w:szCs w:val="20"/>
        </w:rPr>
        <w:t>Esses termos substituem quaisquer termos eletrônicos que possam estar contidos no software.</w:t>
      </w:r>
      <w:r w:rsidRPr="00532330">
        <w:rPr>
          <w:b/>
          <w:sz w:val="20"/>
          <w:szCs w:val="20"/>
        </w:rPr>
        <w:t xml:space="preserve"> Se quaisquer termos contidos no software estiverem em conflito com os presentes termos, estes prevalecerão. </w:t>
      </w:r>
    </w:p>
    <w:tbl>
      <w:tblPr>
        <w:tblW w:w="9675" w:type="dxa"/>
        <w:tblInd w:w="115" w:type="dxa"/>
        <w:tblCellMar>
          <w:left w:w="115" w:type="dxa"/>
          <w:right w:w="115" w:type="dxa"/>
        </w:tblCellMar>
        <w:tblLook w:val="01E0" w:firstRow="1" w:lastRow="1" w:firstColumn="1" w:lastColumn="1" w:noHBand="0" w:noVBand="0"/>
      </w:tblPr>
      <w:tblGrid>
        <w:gridCol w:w="9675"/>
      </w:tblGrid>
      <w:tr w:rsidR="002B1D8D" w:rsidRPr="00766F17" w:rsidTr="007B0961">
        <w:trPr>
          <w:trHeight w:val="180"/>
        </w:trPr>
        <w:tc>
          <w:tcPr>
            <w:tcW w:w="9675" w:type="dxa"/>
            <w:shd w:val="clear" w:color="auto" w:fill="000080"/>
            <w:vAlign w:val="center"/>
          </w:tcPr>
          <w:p w:rsidR="002B1D8D" w:rsidRPr="007B0961" w:rsidRDefault="002B1D8D" w:rsidP="00766F17">
            <w:pPr>
              <w:spacing w:before="0" w:after="0"/>
              <w:rPr>
                <w:sz w:val="2"/>
                <w:szCs w:val="2"/>
              </w:rPr>
            </w:pPr>
          </w:p>
          <w:p w:rsidR="002B1D8D" w:rsidRPr="007B0961" w:rsidRDefault="00F76A28" w:rsidP="00766F17">
            <w:pPr>
              <w:pStyle w:val="Heading1"/>
              <w:spacing w:before="0" w:after="0"/>
              <w:rPr>
                <w:rStyle w:val="LogoportDoNotTranslate"/>
                <w:rFonts w:ascii="Tahoma" w:hAnsi="Tahoma"/>
                <w:sz w:val="2"/>
                <w:szCs w:val="2"/>
              </w:rPr>
            </w:pPr>
            <w:r w:rsidRPr="007B0961">
              <w:rPr>
                <w:rStyle w:val="LogoportDoNotTranslate"/>
                <w:rFonts w:ascii="Tahoma" w:hAnsi="Tahoma"/>
                <w:sz w:val="2"/>
                <w:szCs w:val="2"/>
              </w:rPr>
              <w:fldChar w:fldCharType="begin"/>
            </w:r>
            <w:r w:rsidR="002B1D8D" w:rsidRPr="007B0961">
              <w:rPr>
                <w:rStyle w:val="LogoportDoNotTranslate"/>
                <w:rFonts w:ascii="Tahoma" w:hAnsi="Tahoma"/>
                <w:sz w:val="2"/>
                <w:szCs w:val="2"/>
              </w:rPr>
              <w:instrText>tc "Microsoft( Application Center 2000" \f C \l 1</w:instrText>
            </w:r>
            <w:r w:rsidRPr="007B0961">
              <w:rPr>
                <w:rStyle w:val="LogoportDoNotTranslate"/>
                <w:rFonts w:ascii="Tahoma" w:hAnsi="Tahoma"/>
                <w:sz w:val="2"/>
                <w:szCs w:val="2"/>
              </w:rPr>
              <w:fldChar w:fldCharType="end"/>
            </w:r>
            <w:r w:rsidR="00322DC5" w:rsidRPr="007B0961">
              <w:rPr>
                <w:rStyle w:val="LogoportDoNotTranslate"/>
                <w:rFonts w:ascii="Tahoma" w:hAnsi="Tahoma"/>
                <w:sz w:val="2"/>
                <w:szCs w:val="2"/>
              </w:rPr>
              <w:t xml:space="preserve"> </w:t>
            </w:r>
          </w:p>
        </w:tc>
      </w:tr>
    </w:tbl>
    <w:p w:rsidR="002B1D8D" w:rsidRPr="00D35C52" w:rsidRDefault="002B1D8D" w:rsidP="00766F17">
      <w:pPr>
        <w:pStyle w:val="Preamble"/>
        <w:rPr>
          <w:sz w:val="20"/>
          <w:szCs w:val="20"/>
        </w:rPr>
      </w:pPr>
      <w:r w:rsidRPr="002B4348">
        <w:rPr>
          <w:b/>
          <w:sz w:val="20"/>
          <w:szCs w:val="20"/>
        </w:rPr>
        <w:t>NOTIFICAÇÃO IMPORTANTE: ATUALIZAÇÕES AUTOMÁTICAS PARA VERSÕES ANTERIORES DO</w:t>
      </w:r>
      <w:r w:rsidR="00766F17">
        <w:rPr>
          <w:b/>
          <w:sz w:val="20"/>
          <w:szCs w:val="20"/>
        </w:rPr>
        <w:t> </w:t>
      </w:r>
      <w:r w:rsidRPr="002B4348">
        <w:rPr>
          <w:b/>
          <w:sz w:val="20"/>
          <w:szCs w:val="20"/>
        </w:rPr>
        <w:t>SQL SERVER.</w:t>
      </w:r>
      <w:r w:rsidRPr="00D35C52">
        <w:rPr>
          <w:sz w:val="20"/>
          <w:szCs w:val="20"/>
        </w:rPr>
        <w:t xml:space="preserve"> 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 Este recurso não pode ser desativado. A remoção desses arquivos poderá causar erros no software, e talvez não seja possível recuperar os arquivos originais. Ao instalar este software em um servidor ou dispositivo no qual essas edições estejam em execução, você autoriza essas </w:t>
      </w:r>
      <w:r w:rsidRPr="00D35C52">
        <w:rPr>
          <w:sz w:val="20"/>
          <w:szCs w:val="20"/>
        </w:rPr>
        <w:lastRenderedPageBreak/>
        <w:t>atualizações de todas essas edições e cópias do SQL Server (incluindo os componentes de qualquer uma delas) em execução nesse servidor ou dispositivo.</w:t>
      </w:r>
    </w:p>
    <w:p w:rsidR="002B1D8D" w:rsidRPr="00753CB3" w:rsidRDefault="002B1D8D" w:rsidP="002B4348">
      <w:pPr>
        <w:pStyle w:val="PreambleBorderAbove"/>
        <w:jc w:val="center"/>
        <w:rPr>
          <w:sz w:val="20"/>
          <w:szCs w:val="20"/>
        </w:rPr>
      </w:pPr>
      <w:r w:rsidRPr="00753CB3">
        <w:rPr>
          <w:sz w:val="20"/>
          <w:szCs w:val="20"/>
        </w:rPr>
        <w:t>***</w:t>
      </w:r>
    </w:p>
    <w:p w:rsidR="002B1D8D" w:rsidRPr="002B4348" w:rsidRDefault="002B1D8D" w:rsidP="00766F17">
      <w:pPr>
        <w:pStyle w:val="PreambleBorderAbove"/>
        <w:rPr>
          <w:b/>
          <w:sz w:val="20"/>
          <w:szCs w:val="20"/>
        </w:rPr>
      </w:pPr>
      <w:r w:rsidRPr="002B4348">
        <w:rPr>
          <w:b/>
          <w:sz w:val="20"/>
          <w:szCs w:val="20"/>
        </w:rPr>
        <w:t>CONCORDANDO COM OS PRESENTES TERMOS DE LICENÇA, SER-LHE-ÃO CONFERIDOS OS</w:t>
      </w:r>
      <w:r w:rsidR="00766F17">
        <w:rPr>
          <w:b/>
          <w:sz w:val="20"/>
          <w:szCs w:val="20"/>
        </w:rPr>
        <w:t> </w:t>
      </w:r>
      <w:r w:rsidRPr="002B4348">
        <w:rPr>
          <w:b/>
          <w:sz w:val="20"/>
          <w:szCs w:val="20"/>
        </w:rPr>
        <w:t>DIREITOS ABAIXO PARA CADA LICENÇA DE SOFTWARE ADQUIRIDA.</w:t>
      </w:r>
    </w:p>
    <w:p w:rsidR="002B1D8D" w:rsidRPr="00753CB3" w:rsidRDefault="002B1D8D" w:rsidP="00766F17">
      <w:pPr>
        <w:pStyle w:val="Heading1"/>
        <w:widowControl w:val="0"/>
        <w:numPr>
          <w:ilvl w:val="0"/>
          <w:numId w:val="16"/>
        </w:numPr>
        <w:ind w:left="360"/>
        <w:rPr>
          <w:b/>
          <w:sz w:val="20"/>
          <w:szCs w:val="20"/>
        </w:rPr>
      </w:pPr>
      <w:r w:rsidRPr="00753CB3">
        <w:rPr>
          <w:b/>
          <w:sz w:val="20"/>
          <w:szCs w:val="20"/>
        </w:rPr>
        <w:t>VISÃO GERAL.</w:t>
      </w:r>
    </w:p>
    <w:p w:rsidR="002B1D8D" w:rsidRPr="00235E06" w:rsidRDefault="002B1D8D" w:rsidP="00A42448">
      <w:pPr>
        <w:pStyle w:val="Heading2"/>
        <w:rPr>
          <w:sz w:val="20"/>
          <w:szCs w:val="20"/>
        </w:rPr>
      </w:pPr>
      <w:r w:rsidRPr="00235E06">
        <w:rPr>
          <w:rFonts w:eastAsia="SimSun"/>
          <w:b/>
          <w:sz w:val="20"/>
          <w:szCs w:val="20"/>
        </w:rPr>
        <w:t>Software.</w:t>
      </w:r>
      <w:r w:rsidRPr="00235E06">
        <w:rPr>
          <w:b/>
          <w:sz w:val="20"/>
          <w:szCs w:val="20"/>
        </w:rPr>
        <w:t xml:space="preserve"> </w:t>
      </w:r>
      <w:r w:rsidRPr="00235E06">
        <w:rPr>
          <w:sz w:val="20"/>
          <w:szCs w:val="20"/>
        </w:rPr>
        <w:t>O software inclui</w:t>
      </w:r>
    </w:p>
    <w:p w:rsidR="002B1D8D" w:rsidRPr="00235E06" w:rsidRDefault="002B1D8D" w:rsidP="00A42448">
      <w:pPr>
        <w:pStyle w:val="Bullet3"/>
        <w:rPr>
          <w:b w:val="0"/>
          <w:sz w:val="20"/>
          <w:szCs w:val="20"/>
        </w:rPr>
      </w:pPr>
      <w:r w:rsidRPr="00235E06">
        <w:rPr>
          <w:b w:val="0"/>
          <w:sz w:val="20"/>
          <w:szCs w:val="20"/>
        </w:rPr>
        <w:t>software para servidores e</w:t>
      </w:r>
    </w:p>
    <w:p w:rsidR="002B1D8D" w:rsidRPr="00235E06" w:rsidRDefault="002B1D8D" w:rsidP="00A42448">
      <w:pPr>
        <w:pStyle w:val="Bullet3"/>
        <w:rPr>
          <w:b w:val="0"/>
          <w:sz w:val="20"/>
          <w:szCs w:val="20"/>
        </w:rPr>
      </w:pPr>
      <w:r w:rsidRPr="00235E06">
        <w:rPr>
          <w:b w:val="0"/>
          <w:sz w:val="20"/>
          <w:szCs w:val="20"/>
        </w:rPr>
        <w:t>software adicional que pode ser usado apenas com o software de servidor, direta ou indiretamente, por meio de outros softwares.</w:t>
      </w:r>
    </w:p>
    <w:p w:rsidR="002B1D8D" w:rsidRPr="00235E06" w:rsidRDefault="002B1D8D" w:rsidP="00A42448">
      <w:pPr>
        <w:pStyle w:val="Heading2"/>
        <w:rPr>
          <w:sz w:val="20"/>
          <w:szCs w:val="20"/>
        </w:rPr>
      </w:pPr>
      <w:r w:rsidRPr="00235E06">
        <w:rPr>
          <w:rFonts w:eastAsia="SimSun"/>
          <w:b/>
          <w:sz w:val="20"/>
          <w:szCs w:val="20"/>
        </w:rPr>
        <w:t>Modelo de Licença.</w:t>
      </w:r>
      <w:r w:rsidRPr="00235E06">
        <w:rPr>
          <w:sz w:val="20"/>
          <w:szCs w:val="20"/>
        </w:rPr>
        <w:t xml:space="preserve"> O software é licenciado com base no</w:t>
      </w:r>
    </w:p>
    <w:p w:rsidR="002B1D8D" w:rsidRPr="00235E06" w:rsidRDefault="002C1AB1" w:rsidP="00A42448">
      <w:pPr>
        <w:pStyle w:val="Bullet3"/>
        <w:rPr>
          <w:b w:val="0"/>
          <w:sz w:val="20"/>
          <w:szCs w:val="20"/>
        </w:rPr>
      </w:pPr>
      <w:r w:rsidRPr="00235E06">
        <w:rPr>
          <w:b w:val="0"/>
          <w:sz w:val="20"/>
          <w:szCs w:val="20"/>
        </w:rPr>
        <w:t>número de ambientes do sistema operacional (OSE) do software para servidores que você executa e</w:t>
      </w:r>
    </w:p>
    <w:p w:rsidR="002B1D8D" w:rsidRPr="00235E06" w:rsidRDefault="002B1D8D" w:rsidP="00A42448">
      <w:pPr>
        <w:pStyle w:val="Bullet3"/>
        <w:rPr>
          <w:b w:val="0"/>
          <w:sz w:val="20"/>
          <w:szCs w:val="20"/>
        </w:rPr>
      </w:pPr>
      <w:r w:rsidRPr="00235E06">
        <w:rPr>
          <w:b w:val="0"/>
          <w:sz w:val="20"/>
          <w:szCs w:val="20"/>
        </w:rPr>
        <w:t>número de dispositivos e usuários que acessam as instâncias do software de servidor.</w:t>
      </w:r>
    </w:p>
    <w:p w:rsidR="002B1D8D" w:rsidRPr="000C4EAB" w:rsidRDefault="002B1D8D" w:rsidP="00A42448">
      <w:pPr>
        <w:pStyle w:val="Heading2"/>
        <w:rPr>
          <w:b/>
          <w:sz w:val="20"/>
          <w:szCs w:val="20"/>
        </w:rPr>
      </w:pPr>
      <w:r w:rsidRPr="000C4EAB">
        <w:rPr>
          <w:b/>
          <w:sz w:val="20"/>
          <w:szCs w:val="20"/>
        </w:rPr>
        <w:t>Terminologia de Licenciamento.</w:t>
      </w:r>
    </w:p>
    <w:p w:rsidR="002B1D8D" w:rsidRPr="000C4EAB" w:rsidRDefault="002B1D8D" w:rsidP="00A42448">
      <w:pPr>
        <w:pStyle w:val="Bullet3"/>
        <w:rPr>
          <w:b w:val="0"/>
          <w:sz w:val="20"/>
          <w:szCs w:val="20"/>
        </w:rPr>
      </w:pPr>
      <w:r w:rsidRPr="00ED7D66">
        <w:rPr>
          <w:sz w:val="20"/>
          <w:szCs w:val="20"/>
        </w:rPr>
        <w:t>Instância.</w:t>
      </w:r>
      <w:r w:rsidRPr="000C4EAB">
        <w:rPr>
          <w:b w:val="0"/>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2B1D8D" w:rsidRPr="000C4EAB" w:rsidRDefault="002B1D8D" w:rsidP="00A42448">
      <w:pPr>
        <w:pStyle w:val="Bullet3"/>
        <w:rPr>
          <w:b w:val="0"/>
          <w:sz w:val="20"/>
          <w:szCs w:val="20"/>
        </w:rPr>
      </w:pPr>
      <w:r w:rsidRPr="00ED7D66">
        <w:rPr>
          <w:sz w:val="20"/>
          <w:szCs w:val="20"/>
        </w:rPr>
        <w:t>Execução de uma Instância.</w:t>
      </w:r>
      <w:r w:rsidRPr="000C4EAB">
        <w:rPr>
          <w:b w:val="0"/>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2B1D8D" w:rsidRPr="000C4EAB" w:rsidRDefault="002B1D8D" w:rsidP="00A42448">
      <w:pPr>
        <w:pStyle w:val="Bullet3"/>
        <w:rPr>
          <w:b w:val="0"/>
          <w:sz w:val="20"/>
          <w:szCs w:val="20"/>
        </w:rPr>
      </w:pPr>
      <w:r w:rsidRPr="00ED7D66">
        <w:rPr>
          <w:sz w:val="20"/>
          <w:szCs w:val="20"/>
        </w:rPr>
        <w:t>Ambiente de Sistema Operacional.</w:t>
      </w:r>
      <w:r w:rsidRPr="000C4EAB">
        <w:rPr>
          <w:b w:val="0"/>
          <w:sz w:val="20"/>
          <w:szCs w:val="20"/>
        </w:rPr>
        <w:t xml:space="preserve"> “Ambiente de sistema operacional” ou </w:t>
      </w:r>
      <w:r w:rsidR="00B0711D">
        <w:rPr>
          <w:b w:val="0"/>
          <w:sz w:val="20"/>
          <w:szCs w:val="20"/>
        </w:rPr>
        <w:t>“</w:t>
      </w:r>
      <w:r w:rsidRPr="000C4EAB">
        <w:rPr>
          <w:b w:val="0"/>
          <w:sz w:val="20"/>
          <w:szCs w:val="20"/>
        </w:rPr>
        <w:t>OSE</w:t>
      </w:r>
      <w:r w:rsidR="00B0711D">
        <w:rPr>
          <w:b w:val="0"/>
          <w:sz w:val="20"/>
          <w:szCs w:val="20"/>
        </w:rPr>
        <w:t>”</w:t>
      </w:r>
      <w:r w:rsidRPr="000C4EAB">
        <w:rPr>
          <w:b w:val="0"/>
          <w:sz w:val="20"/>
          <w:szCs w:val="20"/>
        </w:rPr>
        <w:t xml:space="preserve"> é </w:t>
      </w:r>
    </w:p>
    <w:p w:rsidR="002B1D8D" w:rsidRPr="000C4EAB" w:rsidRDefault="002B1D8D" w:rsidP="00A42448">
      <w:pPr>
        <w:pStyle w:val="Bullet4"/>
        <w:numPr>
          <w:ilvl w:val="0"/>
          <w:numId w:val="7"/>
        </w:numPr>
        <w:rPr>
          <w:b w:val="0"/>
          <w:sz w:val="20"/>
          <w:szCs w:val="20"/>
        </w:rPr>
      </w:pPr>
      <w:r w:rsidRPr="000C4EAB">
        <w:rPr>
          <w:b w:val="0"/>
          <w:sz w:val="20"/>
          <w:szCs w:val="20"/>
        </w:rPr>
        <w:t xml:space="preserve">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 </w:t>
      </w:r>
    </w:p>
    <w:p w:rsidR="002B1D8D" w:rsidRPr="000C4EAB" w:rsidRDefault="002B1D8D" w:rsidP="00A42448">
      <w:pPr>
        <w:pStyle w:val="Bullet4"/>
        <w:numPr>
          <w:ilvl w:val="0"/>
          <w:numId w:val="7"/>
        </w:numPr>
        <w:rPr>
          <w:b w:val="0"/>
          <w:sz w:val="20"/>
          <w:szCs w:val="20"/>
        </w:rPr>
      </w:pPr>
      <w:r w:rsidRPr="000C4EAB">
        <w:rPr>
          <w:b w:val="0"/>
          <w:sz w:val="20"/>
          <w:szCs w:val="20"/>
        </w:rPr>
        <w:t xml:space="preserve">instâncias de aplicativos, se houver, configuradas para serem executadas na instância de sistema operacional ou na parte identificada acima. </w:t>
      </w:r>
    </w:p>
    <w:p w:rsidR="002B1D8D" w:rsidRPr="000C4EAB" w:rsidRDefault="002B1D8D" w:rsidP="00A42448">
      <w:pPr>
        <w:pStyle w:val="Body3"/>
        <w:rPr>
          <w:b w:val="0"/>
          <w:sz w:val="20"/>
          <w:szCs w:val="20"/>
        </w:rPr>
      </w:pPr>
      <w:r w:rsidRPr="000C4EAB">
        <w:rPr>
          <w:rFonts w:eastAsia="SimSun"/>
          <w:b w:val="0"/>
          <w:sz w:val="20"/>
          <w:szCs w:val="20"/>
        </w:rPr>
        <w:tab/>
      </w:r>
      <w:r w:rsidRPr="000C4EAB">
        <w:rPr>
          <w:b w:val="0"/>
          <w:sz w:val="20"/>
          <w:szCs w:val="20"/>
        </w:rPr>
        <w:t>Um sistema de hardware físico pode ter um dos itens abaixo ou ambos:</w:t>
      </w:r>
    </w:p>
    <w:p w:rsidR="002B1D8D" w:rsidRPr="000C4EAB" w:rsidRDefault="002B1D8D" w:rsidP="000C4EAB">
      <w:pPr>
        <w:pStyle w:val="Body3"/>
        <w:numPr>
          <w:ilvl w:val="0"/>
          <w:numId w:val="8"/>
        </w:numPr>
        <w:tabs>
          <w:tab w:val="left" w:pos="900"/>
          <w:tab w:val="left" w:pos="1170"/>
        </w:tabs>
        <w:rPr>
          <w:b w:val="0"/>
          <w:sz w:val="20"/>
          <w:szCs w:val="20"/>
        </w:rPr>
      </w:pPr>
      <w:r w:rsidRPr="000C4EAB">
        <w:rPr>
          <w:b w:val="0"/>
          <w:sz w:val="20"/>
          <w:szCs w:val="20"/>
        </w:rPr>
        <w:t>um ambiente de sistema operacional físico;</w:t>
      </w:r>
    </w:p>
    <w:p w:rsidR="002B1D8D" w:rsidRPr="000C4EAB" w:rsidRDefault="002B1D8D" w:rsidP="00A42448">
      <w:pPr>
        <w:pStyle w:val="Body3"/>
        <w:numPr>
          <w:ilvl w:val="0"/>
          <w:numId w:val="8"/>
        </w:numPr>
        <w:rPr>
          <w:b w:val="0"/>
          <w:sz w:val="20"/>
          <w:szCs w:val="20"/>
        </w:rPr>
      </w:pPr>
      <w:r w:rsidRPr="000C4EAB">
        <w:rPr>
          <w:b w:val="0"/>
          <w:sz w:val="20"/>
          <w:szCs w:val="20"/>
        </w:rPr>
        <w:t xml:space="preserve">um ou mais ambientes de sistema operacional virtuais. </w:t>
      </w:r>
    </w:p>
    <w:p w:rsidR="002B1D8D" w:rsidRPr="000C4EAB" w:rsidRDefault="002B1D8D" w:rsidP="00ED7D66">
      <w:pPr>
        <w:pStyle w:val="Body3"/>
        <w:ind w:left="1440"/>
        <w:rPr>
          <w:b w:val="0"/>
          <w:sz w:val="20"/>
          <w:szCs w:val="20"/>
        </w:rPr>
      </w:pPr>
      <w:r w:rsidRPr="000C4EAB">
        <w:rPr>
          <w:b w:val="0"/>
          <w:sz w:val="20"/>
          <w:szCs w:val="20"/>
        </w:rPr>
        <w:t xml:space="preserve">Um ambiente de sistema operacional físico é configurado para ser executado diretamente em um sistema de hardware físico. 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 </w:t>
      </w:r>
    </w:p>
    <w:p w:rsidR="002B1D8D" w:rsidRPr="000C4EAB" w:rsidRDefault="002B1D8D" w:rsidP="00ED7D66">
      <w:pPr>
        <w:pStyle w:val="Bullet3"/>
        <w:numPr>
          <w:ilvl w:val="0"/>
          <w:numId w:val="0"/>
        </w:numPr>
        <w:ind w:left="1440"/>
        <w:rPr>
          <w:b w:val="0"/>
          <w:sz w:val="20"/>
          <w:szCs w:val="20"/>
        </w:rPr>
      </w:pPr>
      <w:r w:rsidRPr="000C4EAB">
        <w:rPr>
          <w:b w:val="0"/>
          <w:sz w:val="20"/>
          <w:szCs w:val="20"/>
        </w:rPr>
        <w:t xml:space="preserve">Um ambiente de sistema operacional virtual é configurado para ser executado em um sistema de hardware virtual (ou emulado). </w:t>
      </w:r>
    </w:p>
    <w:p w:rsidR="002B1D8D" w:rsidRPr="000C4EAB" w:rsidRDefault="002B1D8D" w:rsidP="00A42448">
      <w:pPr>
        <w:pStyle w:val="Bullet3"/>
        <w:rPr>
          <w:b w:val="0"/>
          <w:sz w:val="20"/>
          <w:szCs w:val="20"/>
        </w:rPr>
      </w:pPr>
      <w:r w:rsidRPr="00ED7D66">
        <w:rPr>
          <w:sz w:val="20"/>
          <w:szCs w:val="20"/>
        </w:rPr>
        <w:t>Servidor.</w:t>
      </w:r>
      <w:r w:rsidRPr="000C4EAB">
        <w:rPr>
          <w:b w:val="0"/>
          <w:sz w:val="20"/>
          <w:szCs w:val="20"/>
        </w:rPr>
        <w:t xml:space="preserve"> Um servidor é um sistema de hardware físico capaz de executar um software de servidor. Considera-se uma partição de hardware ou um blade como um sistema de hardware físico separado.</w:t>
      </w:r>
    </w:p>
    <w:p w:rsidR="002B1D8D" w:rsidRPr="000C4EAB" w:rsidRDefault="002B1D8D" w:rsidP="00A42448">
      <w:pPr>
        <w:pStyle w:val="Bullet3"/>
        <w:rPr>
          <w:b w:val="0"/>
          <w:sz w:val="20"/>
          <w:szCs w:val="20"/>
        </w:rPr>
      </w:pPr>
      <w:r w:rsidRPr="00ED7D66">
        <w:rPr>
          <w:sz w:val="20"/>
          <w:szCs w:val="20"/>
        </w:rPr>
        <w:lastRenderedPageBreak/>
        <w:t>Consignação de uma Licença.</w:t>
      </w:r>
      <w:r w:rsidRPr="000C4EAB">
        <w:rPr>
          <w:b w:val="0"/>
          <w:sz w:val="20"/>
          <w:szCs w:val="20"/>
        </w:rPr>
        <w:t xml:space="preserve"> Atribuir uma licença significa simplesmente designar essa licença para um servidor, dispositivo ou usuário.</w:t>
      </w:r>
    </w:p>
    <w:p w:rsidR="002B1D8D" w:rsidRPr="00ED7D66" w:rsidRDefault="002B1D8D" w:rsidP="00766F17">
      <w:pPr>
        <w:pStyle w:val="Heading1"/>
        <w:widowControl w:val="0"/>
        <w:numPr>
          <w:ilvl w:val="0"/>
          <w:numId w:val="16"/>
        </w:numPr>
        <w:ind w:left="360"/>
        <w:rPr>
          <w:b/>
          <w:sz w:val="20"/>
          <w:szCs w:val="20"/>
        </w:rPr>
      </w:pPr>
      <w:r w:rsidRPr="00ED7D66">
        <w:rPr>
          <w:b/>
          <w:sz w:val="20"/>
          <w:szCs w:val="20"/>
        </w:rPr>
        <w:t>DIREITOS DE USO.</w:t>
      </w:r>
    </w:p>
    <w:p w:rsidR="002B1D8D" w:rsidRPr="00766F17" w:rsidRDefault="002B1D8D" w:rsidP="00766F17">
      <w:pPr>
        <w:pStyle w:val="Heading2"/>
        <w:numPr>
          <w:ilvl w:val="1"/>
          <w:numId w:val="17"/>
        </w:numPr>
        <w:rPr>
          <w:b/>
          <w:sz w:val="20"/>
          <w:szCs w:val="20"/>
        </w:rPr>
      </w:pPr>
      <w:r w:rsidRPr="00766F17">
        <w:rPr>
          <w:b/>
          <w:sz w:val="20"/>
          <w:szCs w:val="20"/>
        </w:rPr>
        <w:t>Consignação da Licença ao Servidor.</w:t>
      </w:r>
    </w:p>
    <w:p w:rsidR="002B1D8D" w:rsidRPr="00ED7D66" w:rsidRDefault="002B1D8D" w:rsidP="00A42448">
      <w:pPr>
        <w:pStyle w:val="Heading3"/>
        <w:rPr>
          <w:b w:val="0"/>
          <w:sz w:val="20"/>
          <w:szCs w:val="20"/>
        </w:rPr>
      </w:pPr>
      <w:r w:rsidRPr="00ED7D66">
        <w:rPr>
          <w:sz w:val="20"/>
          <w:szCs w:val="20"/>
        </w:rPr>
        <w:t xml:space="preserve">Cessão Inicial. </w:t>
      </w:r>
      <w:r w:rsidRPr="00ED7D66">
        <w:rPr>
          <w:b w:val="0"/>
          <w:sz w:val="20"/>
          <w:szCs w:val="20"/>
        </w:rPr>
        <w:t>Antes de executar qualquer instância do software de servidor sob uma licença de software, você deverá consignar essa licença a um dos servidores, O servidor para o qual a licença é cedida é considerado o “servidor licenciado” para essa licença. Não é permitido ceder a mesma licença a mais de um servidor. Uma partição de hardware ou blade é considerado um servidor separado.</w:t>
      </w:r>
    </w:p>
    <w:p w:rsidR="002B1D8D" w:rsidRPr="00ED7D66" w:rsidRDefault="002B1D8D" w:rsidP="00766F17">
      <w:pPr>
        <w:pStyle w:val="Heading3"/>
        <w:rPr>
          <w:b w:val="0"/>
          <w:sz w:val="20"/>
          <w:szCs w:val="20"/>
        </w:rPr>
      </w:pPr>
      <w:r w:rsidRPr="00ED7D66">
        <w:rPr>
          <w:sz w:val="20"/>
          <w:szCs w:val="20"/>
        </w:rPr>
        <w:t xml:space="preserve">Transferência. </w:t>
      </w:r>
      <w:r w:rsidRPr="00ED7D66">
        <w:rPr>
          <w:b w:val="0"/>
          <w:sz w:val="20"/>
          <w:szCs w:val="20"/>
        </w:rPr>
        <w:t>Você poderá realocar uma licença de software, mas apenas 90 dias depois da</w:t>
      </w:r>
      <w:r w:rsidR="00766F17">
        <w:rPr>
          <w:b w:val="0"/>
          <w:sz w:val="20"/>
          <w:szCs w:val="20"/>
        </w:rPr>
        <w:t> </w:t>
      </w:r>
      <w:r w:rsidRPr="00ED7D66">
        <w:rPr>
          <w:b w:val="0"/>
          <w:sz w:val="20"/>
          <w:szCs w:val="20"/>
        </w:rPr>
        <w:t>última consignação. Será possível realocar uma licença de software mais cedo se você aposentar o servidor licenciado em decorrência de uma falha permanente de hardware. Se você realocar uma licença, o servidor para o qual a licença for realocada se tornará o novo servidor licenciado dessa licença.</w:t>
      </w:r>
    </w:p>
    <w:p w:rsidR="002B1D8D" w:rsidRPr="005D7031" w:rsidRDefault="002B1D8D" w:rsidP="00766F17">
      <w:pPr>
        <w:pStyle w:val="Heading2"/>
        <w:rPr>
          <w:sz w:val="20"/>
          <w:szCs w:val="20"/>
        </w:rPr>
      </w:pPr>
      <w:r w:rsidRPr="005D7031">
        <w:rPr>
          <w:rFonts w:eastAsia="SimSun"/>
          <w:b/>
          <w:sz w:val="20"/>
          <w:szCs w:val="20"/>
        </w:rPr>
        <w:t>Execução de Instâncias do Software de Servidor.</w:t>
      </w:r>
      <w:r w:rsidRPr="005D7031">
        <w:rPr>
          <w:sz w:val="20"/>
          <w:szCs w:val="20"/>
        </w:rPr>
        <w:t xml:space="preserve"> Para cada licença de software para servidores cedida ao servidor licenciado, você poderá executar, em um dado momento, qualquer número de instâncias do software para servidores em um ambiente de sistema operacional físico ou</w:t>
      </w:r>
      <w:r w:rsidR="00766F17">
        <w:rPr>
          <w:sz w:val="20"/>
          <w:szCs w:val="20"/>
        </w:rPr>
        <w:t> </w:t>
      </w:r>
      <w:r w:rsidRPr="005D7031">
        <w:rPr>
          <w:sz w:val="20"/>
          <w:szCs w:val="20"/>
        </w:rPr>
        <w:t xml:space="preserve">virtual no servidor licenciado. </w:t>
      </w:r>
    </w:p>
    <w:p w:rsidR="002B1D8D" w:rsidRPr="005D7031" w:rsidRDefault="002B1D8D" w:rsidP="00A42448">
      <w:pPr>
        <w:pStyle w:val="Heading2"/>
        <w:rPr>
          <w:sz w:val="20"/>
          <w:szCs w:val="20"/>
        </w:rPr>
      </w:pPr>
      <w:r w:rsidRPr="005D7031">
        <w:rPr>
          <w:b/>
          <w:sz w:val="20"/>
          <w:szCs w:val="20"/>
        </w:rPr>
        <w:t>Execução de Instâncias dos Softwares Adicionais.</w:t>
      </w:r>
      <w:r w:rsidRPr="005D7031">
        <w:rPr>
          <w:sz w:val="20"/>
          <w:szCs w:val="20"/>
        </w:rPr>
        <w:t xml:space="preserve"> Você pode executar ou usar quantas instâncias do software adicional listado abaixo desejar nos ambientes de sistema operacional físicos ou virtuais em qualquer número de dispositivos, contanto que o software adicional seja usado somente em conjunto com o software aplicativo integrado ou o conjunto de aplicativos (a “Solução Unificada”) fornecido pelo ou em nome do Licenciante. É permitido usar um software adicional apenas com o software de servidor, direta ou indiretamente, por meio de outros softwares.</w:t>
      </w:r>
    </w:p>
    <w:p w:rsidR="002B1D8D" w:rsidRPr="005D7031" w:rsidRDefault="002B1D8D" w:rsidP="00A42448">
      <w:pPr>
        <w:pStyle w:val="Bullet3"/>
        <w:rPr>
          <w:b w:val="0"/>
          <w:sz w:val="20"/>
          <w:szCs w:val="20"/>
        </w:rPr>
      </w:pPr>
      <w:r w:rsidRPr="005D7031">
        <w:rPr>
          <w:b w:val="0"/>
          <w:sz w:val="20"/>
          <w:szCs w:val="20"/>
        </w:rPr>
        <w:t>Conectividade das Ferramentas de Cliente</w:t>
      </w:r>
    </w:p>
    <w:p w:rsidR="002B1D8D" w:rsidRPr="005D7031" w:rsidRDefault="002C1AB1" w:rsidP="00A42448">
      <w:pPr>
        <w:pStyle w:val="Bullet3"/>
        <w:rPr>
          <w:b w:val="0"/>
          <w:sz w:val="20"/>
          <w:szCs w:val="20"/>
        </w:rPr>
      </w:pPr>
      <w:r w:rsidRPr="005D7031">
        <w:rPr>
          <w:b w:val="0"/>
          <w:sz w:val="20"/>
          <w:szCs w:val="20"/>
        </w:rPr>
        <w:t>Componentes da Documentação</w:t>
      </w:r>
    </w:p>
    <w:p w:rsidR="002B1D8D" w:rsidRPr="005D7031" w:rsidRDefault="002B1D8D" w:rsidP="00A42448">
      <w:pPr>
        <w:pStyle w:val="Heading2"/>
        <w:rPr>
          <w:sz w:val="20"/>
          <w:szCs w:val="20"/>
        </w:rPr>
      </w:pPr>
      <w:r w:rsidRPr="005D7031">
        <w:rPr>
          <w:rFonts w:eastAsia="SimSun"/>
          <w:b/>
          <w:sz w:val="20"/>
          <w:szCs w:val="20"/>
        </w:rPr>
        <w:t>Criação e Armazenamento de Instâncias nos Servidores e em Mídia de Armazenamento.</w:t>
      </w:r>
      <w:r w:rsidRPr="005D7031">
        <w:rPr>
          <w:sz w:val="20"/>
          <w:szCs w:val="20"/>
        </w:rPr>
        <w:t xml:space="preserve"> Você terá os seguintes direitos adicionais para cada licença de software adquirida:</w:t>
      </w:r>
    </w:p>
    <w:p w:rsidR="002B1D8D" w:rsidRPr="00FF77FE" w:rsidRDefault="002B1D8D" w:rsidP="00A42448">
      <w:pPr>
        <w:pStyle w:val="Bullet3"/>
        <w:rPr>
          <w:b w:val="0"/>
          <w:sz w:val="20"/>
          <w:szCs w:val="20"/>
        </w:rPr>
      </w:pPr>
      <w:r w:rsidRPr="00FF77FE">
        <w:rPr>
          <w:b w:val="0"/>
          <w:sz w:val="20"/>
          <w:szCs w:val="20"/>
        </w:rPr>
        <w:t>Poderá criar quantas instâncias do software de servidor e dos softwares adicionais forem desejadas.</w:t>
      </w:r>
    </w:p>
    <w:p w:rsidR="002B1D8D" w:rsidRPr="00FF77FE" w:rsidRDefault="002B1D8D" w:rsidP="00A42448">
      <w:pPr>
        <w:pStyle w:val="Bullet3"/>
        <w:rPr>
          <w:b w:val="0"/>
          <w:sz w:val="20"/>
          <w:szCs w:val="20"/>
        </w:rPr>
      </w:pPr>
      <w:r w:rsidRPr="00FF77FE">
        <w:rPr>
          <w:b w:val="0"/>
          <w:sz w:val="20"/>
          <w:szCs w:val="20"/>
        </w:rPr>
        <w:t>Poderá armazenar instâncias do software de servidor e de softwares adicionais em qualquer servidor ou mídia de armazenamento.</w:t>
      </w:r>
    </w:p>
    <w:p w:rsidR="002B1D8D" w:rsidRPr="00FF77FE" w:rsidRDefault="002B1D8D" w:rsidP="00A42448">
      <w:pPr>
        <w:pStyle w:val="Bullet3"/>
        <w:rPr>
          <w:b w:val="0"/>
          <w:sz w:val="20"/>
          <w:szCs w:val="20"/>
        </w:rPr>
      </w:pPr>
      <w:r w:rsidRPr="00FF77FE">
        <w:rPr>
          <w:b w:val="0"/>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2B1D8D" w:rsidRPr="00FF77FE" w:rsidRDefault="002B1D8D" w:rsidP="00A42448">
      <w:pPr>
        <w:pStyle w:val="Heading2"/>
        <w:rPr>
          <w:sz w:val="20"/>
          <w:szCs w:val="20"/>
        </w:rPr>
      </w:pPr>
      <w:r w:rsidRPr="00FF77FE">
        <w:rPr>
          <w:rFonts w:eastAsia="SimSun"/>
          <w:b/>
          <w:sz w:val="20"/>
          <w:szCs w:val="20"/>
        </w:rPr>
        <w:t>Programas Microsoft Incluídos.</w:t>
      </w:r>
      <w:r w:rsidRPr="00FF77FE">
        <w:rPr>
          <w:rFonts w:eastAsia="SimSun"/>
          <w:sz w:val="20"/>
          <w:szCs w:val="20"/>
        </w:rPr>
        <w:t xml:space="preserve"> </w:t>
      </w:r>
      <w:r w:rsidR="002C1AB1" w:rsidRPr="00FF77FE">
        <w:rPr>
          <w:sz w:val="20"/>
          <w:szCs w:val="20"/>
        </w:rPr>
        <w:t>O software inclui outros programas da Microsoft listados em go.microsoft.com/fwlink/?LinkID=298186.</w:t>
      </w:r>
      <w:r w:rsidRPr="00FF77FE">
        <w:rPr>
          <w:rFonts w:eastAsia="SimSun"/>
          <w:sz w:val="20"/>
          <w:szCs w:val="20"/>
        </w:rPr>
        <w:t xml:space="preserve"> </w:t>
      </w:r>
      <w:r w:rsidR="002C1AB1" w:rsidRPr="00FF77FE">
        <w:rPr>
          <w:sz w:val="20"/>
          <w:szCs w:val="20"/>
        </w:rPr>
        <w:t>A Microsoft está disponibilizando esses programas a você a título de conveniência apenas, e esses programas são licenciados e são suportados sob seus próprios termos e políticas.</w:t>
      </w:r>
      <w:r w:rsidRPr="00FF77FE">
        <w:rPr>
          <w:rFonts w:eastAsia="SimSun"/>
          <w:sz w:val="20"/>
          <w:szCs w:val="20"/>
        </w:rPr>
        <w:t xml:space="preserve"> </w:t>
      </w:r>
      <w:r w:rsidR="002C1AB1" w:rsidRPr="00FF77FE">
        <w:rPr>
          <w:sz w:val="20"/>
          <w:szCs w:val="20"/>
        </w:rPr>
        <w:t>Você só pode usar esses programas junto com o software licenciado aqui.</w:t>
      </w:r>
      <w:r w:rsidRPr="00FF77FE">
        <w:rPr>
          <w:sz w:val="20"/>
          <w:szCs w:val="20"/>
        </w:rPr>
        <w:t xml:space="preserve"> </w:t>
      </w:r>
      <w:r w:rsidR="00191F1F" w:rsidRPr="00FF77FE">
        <w:rPr>
          <w:sz w:val="20"/>
          <w:szCs w:val="20"/>
        </w:rPr>
        <w:t>Se você não concordar com os termos de licença desses programas, não poderá usá-los.</w:t>
      </w:r>
    </w:p>
    <w:p w:rsidR="002B1D8D" w:rsidRPr="00FF77FE" w:rsidRDefault="002B1D8D" w:rsidP="00766F17">
      <w:pPr>
        <w:pStyle w:val="Heading1"/>
        <w:widowControl w:val="0"/>
        <w:numPr>
          <w:ilvl w:val="0"/>
          <w:numId w:val="16"/>
        </w:numPr>
        <w:ind w:left="360"/>
        <w:rPr>
          <w:b/>
          <w:sz w:val="20"/>
          <w:szCs w:val="20"/>
        </w:rPr>
      </w:pPr>
      <w:r w:rsidRPr="00FF77FE">
        <w:rPr>
          <w:b/>
          <w:sz w:val="20"/>
          <w:szCs w:val="20"/>
        </w:rPr>
        <w:t>DIREITOS DE USO E/OU REQUISITOS DE LICENCIAMENTO ADICIONAIS.</w:t>
      </w:r>
    </w:p>
    <w:p w:rsidR="002B1D8D" w:rsidRPr="00766F17" w:rsidRDefault="002B1D8D" w:rsidP="00766F17">
      <w:pPr>
        <w:pStyle w:val="Heading2"/>
        <w:numPr>
          <w:ilvl w:val="1"/>
          <w:numId w:val="18"/>
        </w:numPr>
        <w:rPr>
          <w:sz w:val="20"/>
          <w:szCs w:val="20"/>
        </w:rPr>
      </w:pPr>
      <w:r w:rsidRPr="00766F17">
        <w:rPr>
          <w:b/>
          <w:sz w:val="20"/>
          <w:szCs w:val="20"/>
        </w:rPr>
        <w:t>Software de Uso Restrito ao Tempo de Execução.</w:t>
      </w:r>
      <w:r w:rsidRPr="00766F17">
        <w:rPr>
          <w:sz w:val="20"/>
          <w:szCs w:val="20"/>
        </w:rPr>
        <w:t xml:space="preserve"> Este é um software de “Uso Restrito ao Tempo de Execução” e, como tal, só pode ser usado para executar a Solução Unificada, exclusivamente como parte dela. O software não pode ser usado (i) para desenvolver nenhum novo aplicativo de software, (ii) em conjunto com nenhum aplicativo de software, banco de dados ou tabela que não sejam as contidas na Solução Unificada e/ou (iii) como um aplicativo de software autônomo. A disposição acima, no entanto, não proíbe o uso de uma ferramenta para executar consultas ou relatórios de tabelas existentes. Uma CAL permite que você acesse apenas instâncias da versão de Uso Restrito ao Tempo de Execução do software de servidor licenciado e fornecido a você como parte da Solução Unificada, de acordo com os outros termos do contrato.</w:t>
      </w:r>
    </w:p>
    <w:p w:rsidR="002B1D8D" w:rsidRPr="00FF77FE" w:rsidRDefault="002B1D8D" w:rsidP="00A42448">
      <w:pPr>
        <w:pStyle w:val="Heading2"/>
        <w:rPr>
          <w:b/>
          <w:sz w:val="20"/>
          <w:szCs w:val="20"/>
        </w:rPr>
      </w:pPr>
      <w:r w:rsidRPr="00FF77FE">
        <w:rPr>
          <w:b/>
          <w:sz w:val="20"/>
          <w:szCs w:val="20"/>
        </w:rPr>
        <w:t>Licenças de Acesso para Cliente (CALs).</w:t>
      </w:r>
    </w:p>
    <w:p w:rsidR="002B1D8D" w:rsidRPr="00FF77FE" w:rsidRDefault="002B1D8D" w:rsidP="00A42448">
      <w:pPr>
        <w:pStyle w:val="Heading3Bold"/>
        <w:rPr>
          <w:sz w:val="20"/>
          <w:szCs w:val="20"/>
        </w:rPr>
      </w:pPr>
      <w:r w:rsidRPr="00FF77FE">
        <w:rPr>
          <w:sz w:val="20"/>
          <w:szCs w:val="20"/>
        </w:rPr>
        <w:t>Você deve adquirir e atribuir uma SQL Server 2014 CAL a cada dispositivo ou usuário que acesse as instâncias do software de servidor direta ou indiretamente. Uma partição de hardware ou um blade é considerado como um dispositivo separado.</w:t>
      </w:r>
    </w:p>
    <w:p w:rsidR="002B1D8D" w:rsidRPr="00FF77FE" w:rsidRDefault="002B1D8D" w:rsidP="00A42448">
      <w:pPr>
        <w:pStyle w:val="Bullet4"/>
        <w:rPr>
          <w:b w:val="0"/>
          <w:sz w:val="20"/>
          <w:szCs w:val="20"/>
        </w:rPr>
      </w:pPr>
      <w:r w:rsidRPr="00FF77FE">
        <w:rPr>
          <w:b w:val="0"/>
          <w:sz w:val="20"/>
          <w:szCs w:val="20"/>
        </w:rPr>
        <w:t>Não é necessário ter CALs para nenhum dos seus servidores licenciados a fim de executar instâncias do software de servidor.</w:t>
      </w:r>
    </w:p>
    <w:p w:rsidR="002B1D8D" w:rsidRDefault="002B1D8D" w:rsidP="00A42448">
      <w:pPr>
        <w:pStyle w:val="Bullet4"/>
        <w:rPr>
          <w:b w:val="0"/>
          <w:sz w:val="20"/>
          <w:szCs w:val="20"/>
        </w:rPr>
      </w:pPr>
      <w:r w:rsidRPr="00FF77FE">
        <w:rPr>
          <w:b w:val="0"/>
          <w:sz w:val="20"/>
          <w:szCs w:val="20"/>
        </w:rPr>
        <w:t>Não é necessário ter CALs para até dois dispositivos ou usuários a fim de acessar as instâncias do software de servidor unicamente com o objetivo de administrá-las.</w:t>
      </w:r>
    </w:p>
    <w:p w:rsidR="003162FC" w:rsidRPr="003162FC" w:rsidRDefault="003162FC" w:rsidP="003162FC">
      <w:pPr>
        <w:pStyle w:val="Bullet4"/>
        <w:rPr>
          <w:b w:val="0"/>
          <w:sz w:val="20"/>
          <w:szCs w:val="20"/>
        </w:rPr>
      </w:pPr>
      <w:r w:rsidRPr="003162FC">
        <w:rPr>
          <w:b w:val="0"/>
          <w:sz w:val="20"/>
          <w:szCs w:val="20"/>
        </w:rPr>
        <w:t>Você não precisa de CALs para nenhum usuário ou dispositivo que acesse instâncias do software para servidores apenas por meio de um processo em lote. “Envio em Lote” é uma atividade que permite que um grupo de tarefas que ocorrem em horários diferentes sejam processadas todas juntas ao mesmo tempo.</w:t>
      </w:r>
    </w:p>
    <w:p w:rsidR="002B1D8D" w:rsidRPr="00FF77FE" w:rsidRDefault="002B1D8D" w:rsidP="00A42448">
      <w:pPr>
        <w:pStyle w:val="Bullet4"/>
        <w:rPr>
          <w:b w:val="0"/>
          <w:sz w:val="20"/>
          <w:szCs w:val="20"/>
        </w:rPr>
      </w:pPr>
      <w:r w:rsidRPr="00FF77FE">
        <w:rPr>
          <w:b w:val="0"/>
          <w:sz w:val="20"/>
          <w:szCs w:val="20"/>
        </w:rPr>
        <w:t>As CALs permitem o acesso às instâncias de versões anteriores, mas não de versões posteriores, do software de servidor.</w:t>
      </w:r>
    </w:p>
    <w:p w:rsidR="002B1D8D" w:rsidRPr="00FF77FE" w:rsidRDefault="002B1D8D" w:rsidP="00A42448">
      <w:pPr>
        <w:pStyle w:val="Heading3Bold"/>
        <w:rPr>
          <w:sz w:val="20"/>
          <w:szCs w:val="20"/>
        </w:rPr>
      </w:pPr>
      <w:r w:rsidRPr="00FF77FE">
        <w:rPr>
          <w:b/>
          <w:sz w:val="20"/>
          <w:szCs w:val="20"/>
        </w:rPr>
        <w:t>Tipos de CALs.</w:t>
      </w:r>
      <w:r w:rsidRPr="00FF77FE">
        <w:rPr>
          <w:sz w:val="20"/>
          <w:szCs w:val="20"/>
        </w:rPr>
        <w:t xml:space="preserve"> Existem dois tipos de CALs: uma para dispositivos e outra para usuários. Cada dispositivo CAL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dispositivos CAL e CALs de usuário.</w:t>
      </w:r>
    </w:p>
    <w:p w:rsidR="002B1D8D" w:rsidRPr="00FF77FE" w:rsidRDefault="002B1D8D" w:rsidP="00A42448">
      <w:pPr>
        <w:pStyle w:val="Heading3Bold"/>
        <w:rPr>
          <w:sz w:val="20"/>
          <w:szCs w:val="20"/>
        </w:rPr>
      </w:pPr>
      <w:r w:rsidRPr="00FF77FE">
        <w:rPr>
          <w:b/>
          <w:sz w:val="20"/>
          <w:szCs w:val="20"/>
        </w:rPr>
        <w:t>Transferência de CALs.</w:t>
      </w:r>
      <w:r w:rsidRPr="00FF77FE">
        <w:rPr>
          <w:sz w:val="20"/>
          <w:szCs w:val="20"/>
        </w:rPr>
        <w:t xml:space="preserve"> É permitido:</w:t>
      </w:r>
    </w:p>
    <w:p w:rsidR="002B1D8D" w:rsidRPr="00FF77FE" w:rsidRDefault="002B1D8D" w:rsidP="00A42448">
      <w:pPr>
        <w:pStyle w:val="Bullet4"/>
        <w:rPr>
          <w:b w:val="0"/>
          <w:sz w:val="20"/>
          <w:szCs w:val="20"/>
        </w:rPr>
      </w:pPr>
      <w:r w:rsidRPr="00FF77FE">
        <w:rPr>
          <w:b w:val="0"/>
          <w:sz w:val="20"/>
          <w:szCs w:val="20"/>
        </w:rPr>
        <w:t>transferir permanentemente uma CAL de dispositivo de um dispositivo para outro ou uma CAL de usuário de um usuário para outro ou</w:t>
      </w:r>
    </w:p>
    <w:p w:rsidR="002B1D8D" w:rsidRPr="00FF77FE" w:rsidRDefault="002B1D8D" w:rsidP="00A42448">
      <w:pPr>
        <w:pStyle w:val="Bullet4"/>
        <w:rPr>
          <w:b w:val="0"/>
          <w:sz w:val="20"/>
          <w:szCs w:val="20"/>
        </w:rPr>
      </w:pPr>
      <w:r w:rsidRPr="00FF77FE">
        <w:rPr>
          <w:b w:val="0"/>
          <w:sz w:val="20"/>
          <w:szCs w:val="20"/>
        </w:rPr>
        <w:t>realocar temporariamente uma CAL de dispositivo para um dispositivo temporário enquanto o primeiro dispositivo estiver fora de serviço ou uma CAL de usuário para um funcionário temporário durante a ausência do usuário.</w:t>
      </w:r>
    </w:p>
    <w:p w:rsidR="002B1D8D" w:rsidRPr="00FF77FE" w:rsidRDefault="002B1D8D" w:rsidP="00A42448">
      <w:pPr>
        <w:pStyle w:val="Heading2"/>
        <w:rPr>
          <w:sz w:val="20"/>
          <w:szCs w:val="20"/>
        </w:rPr>
      </w:pPr>
      <w:r w:rsidRPr="00FF77FE">
        <w:rPr>
          <w:rFonts w:eastAsia="SimSun"/>
          <w:b/>
          <w:sz w:val="20"/>
          <w:szCs w:val="20"/>
        </w:rPr>
        <w:t>Multiplexação.</w:t>
      </w:r>
      <w:r w:rsidRPr="00FF77FE">
        <w:rPr>
          <w:sz w:val="20"/>
          <w:szCs w:val="20"/>
        </w:rPr>
        <w:t xml:space="preserve"> O hardware ou software usado por você para</w:t>
      </w:r>
    </w:p>
    <w:p w:rsidR="002B1D8D" w:rsidRPr="00FF77FE" w:rsidRDefault="002B1D8D" w:rsidP="00A42448">
      <w:pPr>
        <w:pStyle w:val="Bullet3"/>
        <w:rPr>
          <w:b w:val="0"/>
          <w:sz w:val="20"/>
          <w:szCs w:val="20"/>
        </w:rPr>
      </w:pPr>
      <w:r w:rsidRPr="00FF77FE">
        <w:rPr>
          <w:b w:val="0"/>
          <w:sz w:val="20"/>
          <w:szCs w:val="20"/>
        </w:rPr>
        <w:t>reunir conexões,</w:t>
      </w:r>
    </w:p>
    <w:p w:rsidR="002B1D8D" w:rsidRPr="00FF77FE" w:rsidRDefault="002B1D8D" w:rsidP="00A42448">
      <w:pPr>
        <w:pStyle w:val="Bullet3"/>
        <w:rPr>
          <w:b w:val="0"/>
          <w:sz w:val="20"/>
          <w:szCs w:val="20"/>
        </w:rPr>
      </w:pPr>
      <w:r w:rsidRPr="00FF77FE">
        <w:rPr>
          <w:b w:val="0"/>
          <w:sz w:val="20"/>
          <w:szCs w:val="20"/>
        </w:rPr>
        <w:t>reencaminhar informações e</w:t>
      </w:r>
    </w:p>
    <w:p w:rsidR="002B1D8D" w:rsidRPr="00FF77FE" w:rsidRDefault="002B1D8D" w:rsidP="00A42448">
      <w:pPr>
        <w:pStyle w:val="Bullet3"/>
        <w:rPr>
          <w:b w:val="0"/>
          <w:sz w:val="20"/>
          <w:szCs w:val="20"/>
        </w:rPr>
      </w:pPr>
      <w:r w:rsidRPr="00FF77FE">
        <w:rPr>
          <w:b w:val="0"/>
          <w:sz w:val="20"/>
          <w:szCs w:val="20"/>
        </w:rPr>
        <w:t>reduzir o número de dispositivos ou usuários que acessam ou usam o software diretamente</w:t>
      </w:r>
    </w:p>
    <w:p w:rsidR="002B1D8D" w:rsidRPr="00FF77FE" w:rsidRDefault="002B1D8D" w:rsidP="00A42448">
      <w:pPr>
        <w:pStyle w:val="Body2"/>
        <w:rPr>
          <w:b w:val="0"/>
          <w:sz w:val="20"/>
          <w:szCs w:val="20"/>
        </w:rPr>
      </w:pPr>
      <w:r w:rsidRPr="00FF77FE">
        <w:rPr>
          <w:b w:val="0"/>
          <w:sz w:val="20"/>
          <w:szCs w:val="20"/>
        </w:rPr>
        <w:t>(algumas vezes chamado de “multiplexação” ou “pooling”), não reduz o número de licenças de qualquer tipo necessárias.</w:t>
      </w:r>
    </w:p>
    <w:p w:rsidR="002B1D8D" w:rsidRPr="00FF77FE" w:rsidRDefault="002B1D8D" w:rsidP="00A42448">
      <w:pPr>
        <w:pStyle w:val="Heading2"/>
        <w:rPr>
          <w:sz w:val="20"/>
          <w:szCs w:val="20"/>
        </w:rPr>
      </w:pPr>
      <w:r w:rsidRPr="00FF77FE">
        <w:rPr>
          <w:b/>
          <w:sz w:val="20"/>
          <w:szCs w:val="20"/>
        </w:rPr>
        <w:t>Sem Separação do Software para Servidores.</w:t>
      </w:r>
      <w:r w:rsidRPr="00FF77FE">
        <w:rPr>
          <w:sz w:val="20"/>
          <w:szCs w:val="20"/>
        </w:rPr>
        <w:t xml:space="preserve"> 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rsidR="002B1D8D" w:rsidRPr="00FF77FE" w:rsidRDefault="002B1D8D" w:rsidP="00766F17">
      <w:pPr>
        <w:pStyle w:val="Heading2"/>
        <w:rPr>
          <w:sz w:val="20"/>
          <w:szCs w:val="20"/>
        </w:rPr>
      </w:pPr>
      <w:r w:rsidRPr="00FF77FE">
        <w:rPr>
          <w:b/>
          <w:sz w:val="20"/>
          <w:szCs w:val="20"/>
        </w:rPr>
        <w:t xml:space="preserve">Instâncias Máximas. </w:t>
      </w:r>
      <w:r w:rsidRPr="00FF77FE">
        <w:rPr>
          <w:sz w:val="20"/>
          <w:szCs w:val="20"/>
        </w:rPr>
        <w:t>O software ou hardware pode limitar o número de instâncias do software</w:t>
      </w:r>
      <w:r w:rsidR="00766F17">
        <w:rPr>
          <w:sz w:val="20"/>
          <w:szCs w:val="20"/>
        </w:rPr>
        <w:t> </w:t>
      </w:r>
      <w:r w:rsidRPr="00FF77FE">
        <w:rPr>
          <w:sz w:val="20"/>
          <w:szCs w:val="20"/>
        </w:rPr>
        <w:t>de servidor que podem ser executadas em ambientes de sistema operacional físicos ou</w:t>
      </w:r>
      <w:r w:rsidR="00766F17">
        <w:rPr>
          <w:sz w:val="20"/>
          <w:szCs w:val="20"/>
        </w:rPr>
        <w:t> </w:t>
      </w:r>
      <w:r w:rsidRPr="00FF77FE">
        <w:rPr>
          <w:sz w:val="20"/>
          <w:szCs w:val="20"/>
        </w:rPr>
        <w:t>virtuais no servidor.</w:t>
      </w:r>
    </w:p>
    <w:p w:rsidR="002B1D8D" w:rsidRPr="00FF77FE" w:rsidRDefault="002B1D8D" w:rsidP="00A42448">
      <w:pPr>
        <w:pStyle w:val="Heading2"/>
        <w:rPr>
          <w:sz w:val="20"/>
          <w:szCs w:val="20"/>
        </w:rPr>
      </w:pPr>
      <w:r w:rsidRPr="00FF77FE">
        <w:rPr>
          <w:rFonts w:eastAsia="SimSun"/>
          <w:b/>
          <w:sz w:val="20"/>
          <w:szCs w:val="20"/>
        </w:rPr>
        <w:t>Item de Relatório de Mapa do SQL Server Reporting Services.</w:t>
      </w:r>
      <w:r w:rsidRPr="00FF77FE">
        <w:rPr>
          <w:rFonts w:eastAsia="SimSun"/>
          <w:sz w:val="20"/>
          <w:szCs w:val="20"/>
        </w:rPr>
        <w:t xml:space="preserve"> </w:t>
      </w:r>
      <w:r w:rsidR="00191F1F" w:rsidRPr="00FF77FE">
        <w:rPr>
          <w:sz w:val="20"/>
          <w:szCs w:val="20"/>
        </w:rPr>
        <w:t>O Power View e o Item de Mapa do SQL Reporting Services podem usar o Bing Maps.</w:t>
      </w:r>
      <w:r w:rsidRPr="00FF77FE">
        <w:rPr>
          <w:rFonts w:eastAsia="SimSun"/>
          <w:sz w:val="20"/>
          <w:szCs w:val="20"/>
        </w:rPr>
        <w:t xml:space="preserve"> </w:t>
      </w:r>
      <w:r w:rsidR="00191F1F" w:rsidRPr="00FF77FE">
        <w:rPr>
          <w:sz w:val="20"/>
          <w:szCs w:val="20"/>
        </w:rPr>
        <w:t>Você só pode usar o conteúdo fornecido pelo Bing Maps, incluindo geocódigos, no Power View ou no Item de Mapa do SQL Reporting Services.</w:t>
      </w:r>
      <w:r w:rsidRPr="00FF77FE">
        <w:rPr>
          <w:sz w:val="20"/>
          <w:szCs w:val="20"/>
        </w:rPr>
        <w:t xml:space="preserve"> </w:t>
      </w:r>
      <w:r w:rsidR="00B744C2" w:rsidRPr="00FF77FE">
        <w:rPr>
          <w:sz w:val="20"/>
          <w:szCs w:val="20"/>
        </w:rPr>
        <w:t>O uso que você faz do Bing Maps também é regido pelos Termos de Uso do Usuário Final do Bing Maps disponíveis em go.microsoft.com/?linkid=9710837 e pela Política de Privacidade do Bing Maps disponível em go.microsoft.com/fwlink/?LinkID=248686.</w:t>
      </w:r>
    </w:p>
    <w:p w:rsidR="002B1D8D" w:rsidRPr="00766F17" w:rsidRDefault="00B744C2" w:rsidP="00766F17">
      <w:pPr>
        <w:pStyle w:val="Heading1"/>
        <w:widowControl w:val="0"/>
        <w:numPr>
          <w:ilvl w:val="0"/>
          <w:numId w:val="16"/>
        </w:numPr>
        <w:ind w:left="360"/>
        <w:rPr>
          <w:bCs w:val="0"/>
          <w:sz w:val="20"/>
          <w:szCs w:val="20"/>
        </w:rPr>
      </w:pPr>
      <w:r w:rsidRPr="00766F17">
        <w:rPr>
          <w:b/>
          <w:sz w:val="20"/>
          <w:szCs w:val="20"/>
        </w:rPr>
        <w:t>NOTIFICAÇÕES DE TERCEIROS.</w:t>
      </w:r>
      <w:r w:rsidR="002B1D8D" w:rsidRPr="00766F17">
        <w:rPr>
          <w:b/>
          <w:sz w:val="20"/>
          <w:szCs w:val="20"/>
        </w:rPr>
        <w:t xml:space="preserve"> </w:t>
      </w:r>
      <w:r w:rsidRPr="00766F17">
        <w:rPr>
          <w:bCs w:val="0"/>
          <w:sz w:val="20"/>
          <w:szCs w:val="20"/>
        </w:rPr>
        <w:t>O software pode incluir código de terceiros que a Microsoft, não o terceiro, licencie a você de acordo com os termos estabelecidos neste contrato.</w:t>
      </w:r>
      <w:r w:rsidR="002B1D8D" w:rsidRPr="00766F17">
        <w:rPr>
          <w:bCs w:val="0"/>
          <w:sz w:val="20"/>
          <w:szCs w:val="20"/>
        </w:rPr>
        <w:t xml:space="preserve"> </w:t>
      </w:r>
      <w:r w:rsidRPr="00766F17">
        <w:rPr>
          <w:bCs w:val="0"/>
          <w:sz w:val="20"/>
          <w:szCs w:val="20"/>
        </w:rPr>
        <w:t>Notificações, se houver, relativas ao código de terceiros, são incluídas somente para fins informativos.</w:t>
      </w:r>
      <w:r w:rsidR="002B1D8D" w:rsidRPr="00766F17">
        <w:rPr>
          <w:bCs w:val="0"/>
          <w:sz w:val="20"/>
          <w:szCs w:val="20"/>
        </w:rPr>
        <w:t xml:space="preserve"> </w:t>
      </w:r>
      <w:r w:rsidRPr="00766F17">
        <w:rPr>
          <w:bCs w:val="0"/>
          <w:sz w:val="20"/>
          <w:szCs w:val="20"/>
        </w:rPr>
        <w:t>Além disso, quaisquer scripts de terceiros, vinculados a, chamados ou mencionados a partir deste software são licenciados a</w:t>
      </w:r>
      <w:r w:rsidR="00766F17">
        <w:rPr>
          <w:bCs w:val="0"/>
          <w:sz w:val="20"/>
          <w:szCs w:val="20"/>
        </w:rPr>
        <w:t> </w:t>
      </w:r>
      <w:r w:rsidRPr="00766F17">
        <w:rPr>
          <w:bCs w:val="0"/>
          <w:sz w:val="20"/>
          <w:szCs w:val="20"/>
        </w:rPr>
        <w:t>você por terceiros que possuem o referido código, não pela Microsoft, consulte os Termos de Uso do ASP.NET Ajax CDN:</w:t>
      </w:r>
      <w:r w:rsidR="002B1D8D" w:rsidRPr="00766F17">
        <w:rPr>
          <w:bCs w:val="0"/>
          <w:sz w:val="20"/>
          <w:szCs w:val="20"/>
        </w:rPr>
        <w:t xml:space="preserve"> </w:t>
      </w:r>
      <w:r w:rsidRPr="00766F17">
        <w:rPr>
          <w:bCs w:val="0"/>
          <w:sz w:val="20"/>
          <w:szCs w:val="20"/>
        </w:rPr>
        <w:t>www.asp.net/ajaxlibrary/CDN.ashx</w:t>
      </w:r>
      <w:r w:rsidRPr="00766F17">
        <w:rPr>
          <w:bCs w:val="0"/>
        </w:rPr>
        <w:t>.</w:t>
      </w:r>
    </w:p>
    <w:p w:rsidR="002B1D8D" w:rsidRPr="00766F17" w:rsidRDefault="002B1D8D" w:rsidP="00766F17">
      <w:pPr>
        <w:pStyle w:val="Heading1"/>
        <w:widowControl w:val="0"/>
        <w:numPr>
          <w:ilvl w:val="0"/>
          <w:numId w:val="16"/>
        </w:numPr>
        <w:ind w:left="360"/>
        <w:rPr>
          <w:bCs w:val="0"/>
          <w:sz w:val="20"/>
          <w:szCs w:val="20"/>
        </w:rPr>
      </w:pPr>
      <w:r w:rsidRPr="00AE19F7">
        <w:rPr>
          <w:b/>
          <w:sz w:val="20"/>
          <w:szCs w:val="20"/>
        </w:rPr>
        <w:t>SERVIÇOS DE INTERNET.</w:t>
      </w:r>
      <w:r w:rsidRPr="00766F17">
        <w:rPr>
          <w:b/>
          <w:sz w:val="20"/>
          <w:szCs w:val="20"/>
        </w:rPr>
        <w:t xml:space="preserve"> </w:t>
      </w:r>
      <w:r w:rsidRPr="00766F17">
        <w:rPr>
          <w:bCs w:val="0"/>
          <w:sz w:val="20"/>
          <w:szCs w:val="20"/>
        </w:rPr>
        <w:t>A Microsoft fornece serviços de Internet com o software e poderá alterá</w:t>
      </w:r>
      <w:r w:rsidR="00766F17">
        <w:rPr>
          <w:bCs w:val="0"/>
          <w:sz w:val="20"/>
          <w:szCs w:val="20"/>
        </w:rPr>
        <w:t>­</w:t>
      </w:r>
      <w:r w:rsidRPr="00766F17">
        <w:rPr>
          <w:bCs w:val="0"/>
          <w:sz w:val="20"/>
          <w:szCs w:val="20"/>
        </w:rPr>
        <w:t>los ou cancelá-los a qualquer momento.</w:t>
      </w:r>
    </w:p>
    <w:p w:rsidR="002B1D8D" w:rsidRPr="00766F17" w:rsidRDefault="002B1D8D" w:rsidP="00766F17">
      <w:pPr>
        <w:pStyle w:val="Heading1"/>
        <w:widowControl w:val="0"/>
        <w:numPr>
          <w:ilvl w:val="0"/>
          <w:numId w:val="16"/>
        </w:numPr>
        <w:ind w:left="360"/>
        <w:rPr>
          <w:bCs w:val="0"/>
          <w:sz w:val="20"/>
          <w:szCs w:val="20"/>
        </w:rPr>
      </w:pPr>
      <w:r w:rsidRPr="00AE19F7">
        <w:rPr>
          <w:b/>
          <w:sz w:val="20"/>
          <w:szCs w:val="20"/>
        </w:rPr>
        <w:t>SOFTWARE .NET FRAMEWORK.</w:t>
      </w:r>
      <w:r w:rsidRPr="00766F17">
        <w:rPr>
          <w:b/>
          <w:sz w:val="20"/>
          <w:szCs w:val="20"/>
        </w:rPr>
        <w:t xml:space="preserve"> </w:t>
      </w:r>
      <w:r w:rsidRPr="00766F17">
        <w:rPr>
          <w:bCs w:val="0"/>
          <w:sz w:val="20"/>
          <w:szCs w:val="20"/>
        </w:rPr>
        <w:t>O software contém o Microsoft .NET Framework. Esse aplicativo é</w:t>
      </w:r>
      <w:r w:rsidR="00766F17">
        <w:rPr>
          <w:bCs w:val="0"/>
          <w:sz w:val="20"/>
          <w:szCs w:val="20"/>
        </w:rPr>
        <w:t> </w:t>
      </w:r>
      <w:r w:rsidRPr="00766F17">
        <w:rPr>
          <w:bCs w:val="0"/>
          <w:sz w:val="20"/>
          <w:szCs w:val="20"/>
        </w:rPr>
        <w:t>parte do Windows. Os termos de licença para Windows se aplicam ao uso do .NET Framework.</w:t>
      </w:r>
    </w:p>
    <w:p w:rsidR="002B1D8D" w:rsidRPr="00766F17" w:rsidRDefault="002B1D8D" w:rsidP="00766F17">
      <w:pPr>
        <w:pStyle w:val="Heading1"/>
        <w:widowControl w:val="0"/>
        <w:numPr>
          <w:ilvl w:val="0"/>
          <w:numId w:val="16"/>
        </w:numPr>
        <w:ind w:left="360"/>
        <w:rPr>
          <w:bCs w:val="0"/>
          <w:sz w:val="20"/>
          <w:szCs w:val="20"/>
        </w:rPr>
      </w:pPr>
      <w:r w:rsidRPr="00AE19F7">
        <w:rPr>
          <w:b/>
          <w:sz w:val="20"/>
          <w:szCs w:val="20"/>
        </w:rPr>
        <w:t>TESTE DE BENCHMARK.</w:t>
      </w:r>
      <w:r w:rsidRPr="00766F17">
        <w:rPr>
          <w:b/>
          <w:sz w:val="20"/>
          <w:szCs w:val="20"/>
        </w:rPr>
        <w:t xml:space="preserve"> </w:t>
      </w:r>
      <w:r w:rsidRPr="00766F17">
        <w:rPr>
          <w:bCs w:val="0"/>
          <w:sz w:val="20"/>
          <w:szCs w:val="20"/>
        </w:rPr>
        <w:t>Você deverá obter o prévio consentimento por escrito da Microsoft para divulgar a terceiros os resultados de qualquer teste de benchmark do software. No entanto, isso não se</w:t>
      </w:r>
      <w:r w:rsidR="00766F17">
        <w:rPr>
          <w:bCs w:val="0"/>
          <w:sz w:val="20"/>
          <w:szCs w:val="20"/>
        </w:rPr>
        <w:t> </w:t>
      </w:r>
      <w:r w:rsidRPr="00766F17">
        <w:rPr>
          <w:bCs w:val="0"/>
          <w:sz w:val="20"/>
          <w:szCs w:val="20"/>
        </w:rPr>
        <w:t>aplica ao Microsoft .NET Framework (veja abaixo).</w:t>
      </w:r>
    </w:p>
    <w:p w:rsidR="002B1D8D" w:rsidRPr="00766F17" w:rsidRDefault="002B1D8D" w:rsidP="00766F17">
      <w:pPr>
        <w:pStyle w:val="Heading1"/>
        <w:widowControl w:val="0"/>
        <w:numPr>
          <w:ilvl w:val="0"/>
          <w:numId w:val="16"/>
        </w:numPr>
        <w:ind w:left="360"/>
        <w:rPr>
          <w:bCs w:val="0"/>
          <w:sz w:val="20"/>
          <w:szCs w:val="20"/>
        </w:rPr>
      </w:pPr>
      <w:r w:rsidRPr="00AE19F7">
        <w:rPr>
          <w:b/>
          <w:sz w:val="20"/>
          <w:szCs w:val="20"/>
        </w:rPr>
        <w:t>TESTE DE BENCHMARK DO MICROSOFT .NET FRAMEWORK.</w:t>
      </w:r>
      <w:r w:rsidRPr="00766F17">
        <w:rPr>
          <w:b/>
          <w:sz w:val="20"/>
          <w:szCs w:val="20"/>
        </w:rPr>
        <w:t xml:space="preserve"> </w:t>
      </w:r>
      <w:r w:rsidRPr="00766F17">
        <w:rPr>
          <w:bCs w:val="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2B1D8D" w:rsidRPr="00766F17" w:rsidRDefault="002B1D8D" w:rsidP="00766F17">
      <w:pPr>
        <w:pStyle w:val="Heading1"/>
        <w:widowControl w:val="0"/>
        <w:numPr>
          <w:ilvl w:val="0"/>
          <w:numId w:val="16"/>
        </w:numPr>
        <w:ind w:left="360"/>
        <w:rPr>
          <w:bCs w:val="0"/>
          <w:sz w:val="20"/>
          <w:szCs w:val="20"/>
        </w:rPr>
      </w:pPr>
      <w:r w:rsidRPr="00AE19F7">
        <w:rPr>
          <w:b/>
          <w:sz w:val="20"/>
          <w:szCs w:val="20"/>
        </w:rPr>
        <w:t xml:space="preserve">ESCOPO DA LICENÇA. </w:t>
      </w:r>
      <w:r w:rsidRPr="00766F17">
        <w:rPr>
          <w:bCs w:val="0"/>
          <w:sz w:val="20"/>
          <w:szCs w:val="20"/>
        </w:rPr>
        <w:t xml:space="preserve">O software é licenciado, e não vendido. </w:t>
      </w:r>
      <w:r w:rsidR="00B744C2" w:rsidRPr="00766F17">
        <w:rPr>
          <w:bCs w:val="0"/>
          <w:sz w:val="20"/>
          <w:szCs w:val="20"/>
        </w:rPr>
        <w:t>A menos que a lei aplicável forneça a</w:t>
      </w:r>
      <w:r w:rsidR="00766F17">
        <w:rPr>
          <w:bCs w:val="0"/>
          <w:sz w:val="20"/>
          <w:szCs w:val="20"/>
        </w:rPr>
        <w:t> </w:t>
      </w:r>
      <w:r w:rsidR="00B744C2" w:rsidRPr="00766F17">
        <w:rPr>
          <w:bCs w:val="0"/>
          <w:sz w:val="20"/>
          <w:szCs w:val="20"/>
        </w:rPr>
        <w:t>você mais direitos, o Licenciante e a Microsoft reservam para si todos os outros direitos que não sejam expressamente outorgados a você no presente contrato, seja por dedução, preclusão ou a outro título.</w:t>
      </w:r>
      <w:r w:rsidRPr="00766F17">
        <w:rPr>
          <w:bCs w:val="0"/>
          <w:sz w:val="20"/>
          <w:szCs w:val="20"/>
        </w:rPr>
        <w:t xml:space="preserve"> </w:t>
      </w:r>
      <w:r w:rsidR="00B744C2" w:rsidRPr="00766F17">
        <w:rPr>
          <w:bCs w:val="0"/>
          <w:sz w:val="20"/>
          <w:szCs w:val="20"/>
        </w:rPr>
        <w:t>Você poderá acessar o software somente conforme expressamente permitido neste contrato.</w:t>
      </w:r>
      <w:r w:rsidRPr="00766F17">
        <w:rPr>
          <w:bCs w:val="0"/>
          <w:sz w:val="20"/>
          <w:szCs w:val="20"/>
        </w:rPr>
        <w:t xml:space="preserve"> Assim, devem ser respeitadas todas e quaisquer limitações técnicas do software que restrinjam seu uso. É vedado:</w:t>
      </w:r>
    </w:p>
    <w:p w:rsidR="002B1D8D" w:rsidRPr="00AE19F7" w:rsidRDefault="002B1D8D" w:rsidP="00A42448">
      <w:pPr>
        <w:pStyle w:val="Bullet2"/>
        <w:rPr>
          <w:b w:val="0"/>
          <w:sz w:val="20"/>
          <w:szCs w:val="20"/>
        </w:rPr>
      </w:pPr>
      <w:r w:rsidRPr="00AE19F7">
        <w:rPr>
          <w:b w:val="0"/>
          <w:sz w:val="20"/>
          <w:szCs w:val="20"/>
        </w:rPr>
        <w:t>contornar quaisquer limitações técnicas do software;</w:t>
      </w:r>
    </w:p>
    <w:p w:rsidR="002B1D8D" w:rsidRPr="00AE19F7" w:rsidRDefault="002B1D8D" w:rsidP="00A42448">
      <w:pPr>
        <w:pStyle w:val="Bullet2"/>
        <w:rPr>
          <w:b w:val="0"/>
          <w:sz w:val="20"/>
          <w:szCs w:val="20"/>
        </w:rPr>
      </w:pPr>
      <w:r w:rsidRPr="00AE19F7">
        <w:rPr>
          <w:b w:val="0"/>
          <w:sz w:val="20"/>
          <w:szCs w:val="20"/>
        </w:rPr>
        <w:t>efetuar engenharia reversa, descompilação ou desmontagem do software, salvo quando essa atividade for expressamente permitida pela lei aplicável, nos limites desta, não obstante a presente limitação;</w:t>
      </w:r>
    </w:p>
    <w:p w:rsidR="002B1D8D" w:rsidRPr="00AE19F7" w:rsidRDefault="002B1D8D" w:rsidP="00A42448">
      <w:pPr>
        <w:pStyle w:val="Bullet2"/>
        <w:rPr>
          <w:b w:val="0"/>
          <w:sz w:val="20"/>
          <w:szCs w:val="20"/>
        </w:rPr>
      </w:pPr>
      <w:r w:rsidRPr="00AE19F7">
        <w:rPr>
          <w:b w:val="0"/>
          <w:sz w:val="20"/>
          <w:szCs w:val="20"/>
        </w:rPr>
        <w:t>produzir mais cópias do software do que o especificado no presente contrato ou permitido pela lei aplicável, não obstante a presente limitação;</w:t>
      </w:r>
    </w:p>
    <w:p w:rsidR="002B1D8D" w:rsidRPr="00AE19F7" w:rsidRDefault="002B1D8D" w:rsidP="00A42448">
      <w:pPr>
        <w:pStyle w:val="Bullet2"/>
        <w:rPr>
          <w:b w:val="0"/>
          <w:sz w:val="20"/>
          <w:szCs w:val="20"/>
        </w:rPr>
      </w:pPr>
      <w:r w:rsidRPr="00AE19F7">
        <w:rPr>
          <w:b w:val="0"/>
          <w:sz w:val="20"/>
          <w:szCs w:val="20"/>
        </w:rPr>
        <w:t>publicar o software, incluindo qualquer interface de programação do aplicativo incluído no software, para que outros copiem;</w:t>
      </w:r>
    </w:p>
    <w:p w:rsidR="002B1D8D" w:rsidRPr="00AE19F7" w:rsidRDefault="002B1D8D" w:rsidP="00A42448">
      <w:pPr>
        <w:pStyle w:val="Bullet2"/>
        <w:rPr>
          <w:b w:val="0"/>
          <w:sz w:val="20"/>
          <w:szCs w:val="20"/>
        </w:rPr>
      </w:pPr>
      <w:r w:rsidRPr="00AE19F7">
        <w:rPr>
          <w:b w:val="0"/>
          <w:sz w:val="20"/>
          <w:szCs w:val="20"/>
        </w:rPr>
        <w:t>compartilhar ou, de outra maneira, distribuir documentos, textos ou imagens criados usando os recursos de Serviços de Mapeamento de Dados do software;</w:t>
      </w:r>
    </w:p>
    <w:p w:rsidR="002B1D8D" w:rsidRPr="00AE19F7" w:rsidRDefault="002B1D8D" w:rsidP="00A42448">
      <w:pPr>
        <w:pStyle w:val="Bullet2"/>
        <w:rPr>
          <w:b w:val="0"/>
          <w:sz w:val="20"/>
          <w:szCs w:val="20"/>
        </w:rPr>
      </w:pPr>
      <w:r w:rsidRPr="00AE19F7">
        <w:rPr>
          <w:b w:val="0"/>
          <w:sz w:val="20"/>
          <w:szCs w:val="20"/>
        </w:rPr>
        <w:t>alugar, arrendar ou emprestar o software ou</w:t>
      </w:r>
    </w:p>
    <w:p w:rsidR="002B1D8D" w:rsidRPr="00AE19F7" w:rsidRDefault="002B1D8D" w:rsidP="00A42448">
      <w:pPr>
        <w:pStyle w:val="Bullet2"/>
        <w:rPr>
          <w:b w:val="0"/>
          <w:sz w:val="20"/>
          <w:szCs w:val="20"/>
        </w:rPr>
      </w:pPr>
      <w:r w:rsidRPr="00AE19F7">
        <w:rPr>
          <w:b w:val="0"/>
          <w:sz w:val="20"/>
          <w:szCs w:val="20"/>
        </w:rPr>
        <w:t>usar o software para serviços de hospedagem de software comercial.</w:t>
      </w:r>
    </w:p>
    <w:p w:rsidR="002B1D8D" w:rsidRPr="00AE19F7" w:rsidRDefault="002B1D8D" w:rsidP="000D75A7">
      <w:pPr>
        <w:pStyle w:val="Bullet2"/>
        <w:numPr>
          <w:ilvl w:val="0"/>
          <w:numId w:val="0"/>
        </w:numPr>
        <w:ind w:left="360"/>
        <w:rPr>
          <w:b w:val="0"/>
          <w:sz w:val="20"/>
          <w:szCs w:val="20"/>
        </w:rPr>
      </w:pPr>
      <w:r w:rsidRPr="00AE19F7">
        <w:rPr>
          <w:b w:val="0"/>
          <w:sz w:val="20"/>
          <w:szCs w:val="20"/>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2B1D8D" w:rsidRPr="00AE19F7" w:rsidRDefault="002B1D8D" w:rsidP="000D75A7">
      <w:pPr>
        <w:pStyle w:val="Heading1"/>
        <w:ind w:left="357"/>
        <w:rPr>
          <w:sz w:val="20"/>
          <w:szCs w:val="20"/>
        </w:rPr>
      </w:pPr>
      <w:r w:rsidRPr="00AE19F7">
        <w:rPr>
          <w:sz w:val="20"/>
          <w:szCs w:val="20"/>
        </w:rPr>
        <w:t>Os direitos de acesso ao software em qualquer dispositivo não concedem a você o direito de implementar patentes da Microsoft ou outras propriedades intelectuais da Microsoft em softwares ou dispositivos que acessam esse dispositivo.</w:t>
      </w:r>
    </w:p>
    <w:p w:rsidR="002B1D8D" w:rsidRPr="00B91802" w:rsidRDefault="002B1D8D" w:rsidP="00B91802">
      <w:pPr>
        <w:pStyle w:val="Heading1"/>
        <w:widowControl w:val="0"/>
        <w:numPr>
          <w:ilvl w:val="0"/>
          <w:numId w:val="16"/>
        </w:numPr>
        <w:ind w:left="360"/>
        <w:rPr>
          <w:bCs w:val="0"/>
          <w:sz w:val="20"/>
          <w:szCs w:val="20"/>
        </w:rPr>
      </w:pPr>
      <w:r w:rsidRPr="00B91802">
        <w:rPr>
          <w:b/>
          <w:sz w:val="20"/>
          <w:szCs w:val="20"/>
        </w:rPr>
        <w:t>CÓPIA DE BACKUP.</w:t>
      </w:r>
      <w:r w:rsidRPr="00B91802">
        <w:rPr>
          <w:bCs w:val="0"/>
          <w:sz w:val="20"/>
          <w:szCs w:val="20"/>
        </w:rPr>
        <w:t xml:space="preserve"> Se você adquiriu o software em disco ou em outra mídia, poderá fazer uma cópia de segurança da mídia. Você poderá usá-la somente para criar instâncias do software.</w:t>
      </w:r>
    </w:p>
    <w:p w:rsidR="002B1D8D" w:rsidRPr="00B91802" w:rsidRDefault="002B1D8D" w:rsidP="00B91802">
      <w:pPr>
        <w:pStyle w:val="Heading1"/>
        <w:widowControl w:val="0"/>
        <w:numPr>
          <w:ilvl w:val="0"/>
          <w:numId w:val="16"/>
        </w:numPr>
        <w:ind w:left="360"/>
        <w:rPr>
          <w:bCs w:val="0"/>
          <w:sz w:val="20"/>
          <w:szCs w:val="20"/>
        </w:rPr>
      </w:pPr>
      <w:r w:rsidRPr="00B91802">
        <w:rPr>
          <w:b/>
          <w:sz w:val="20"/>
          <w:szCs w:val="20"/>
        </w:rPr>
        <w:t>DOCUMENTAÇÃO.</w:t>
      </w:r>
      <w:r w:rsidRPr="00B91802">
        <w:rPr>
          <w:bCs w:val="0"/>
          <w:sz w:val="20"/>
          <w:szCs w:val="20"/>
        </w:rPr>
        <w:t xml:space="preserve"> Qualquer pessoa que tenha acesso válido ao seu computador ou à sua rede interna pode copiar e usar a documentação para fins de referência interna.</w:t>
      </w:r>
    </w:p>
    <w:p w:rsidR="002B1D8D" w:rsidRPr="00B91802" w:rsidRDefault="002B1D8D" w:rsidP="00B91802">
      <w:pPr>
        <w:pStyle w:val="Heading1"/>
        <w:widowControl w:val="0"/>
        <w:numPr>
          <w:ilvl w:val="0"/>
          <w:numId w:val="16"/>
        </w:numPr>
        <w:ind w:left="360"/>
        <w:rPr>
          <w:bCs w:val="0"/>
          <w:sz w:val="20"/>
          <w:szCs w:val="20"/>
        </w:rPr>
      </w:pPr>
      <w:r w:rsidRPr="00B91802">
        <w:rPr>
          <w:b/>
          <w:sz w:val="20"/>
          <w:szCs w:val="20"/>
        </w:rPr>
        <w:t>SOFTWARE NÃO DESTINADO À REVENDA.</w:t>
      </w:r>
      <w:r w:rsidRPr="00B91802">
        <w:rPr>
          <w:bCs w:val="0"/>
          <w:sz w:val="20"/>
          <w:szCs w:val="20"/>
        </w:rPr>
        <w:t xml:space="preserve"> Você não poderá vender o software marcado como “Não Destinado à Revenda”. </w:t>
      </w:r>
    </w:p>
    <w:p w:rsidR="002B1D8D" w:rsidRPr="00B91802" w:rsidRDefault="002B1D8D" w:rsidP="00B91802">
      <w:pPr>
        <w:pStyle w:val="Heading1"/>
        <w:widowControl w:val="0"/>
        <w:numPr>
          <w:ilvl w:val="0"/>
          <w:numId w:val="16"/>
        </w:numPr>
        <w:ind w:left="360"/>
        <w:rPr>
          <w:bCs w:val="0"/>
          <w:sz w:val="20"/>
          <w:szCs w:val="20"/>
        </w:rPr>
      </w:pPr>
      <w:r w:rsidRPr="00B91802">
        <w:rPr>
          <w:b/>
          <w:sz w:val="20"/>
          <w:szCs w:val="20"/>
        </w:rPr>
        <w:t>SOFTWARE DE EDIÇÃO ACADÊMICA.</w:t>
      </w:r>
      <w:r w:rsidRPr="00B91802">
        <w:rPr>
          <w:bCs w:val="0"/>
          <w:sz w:val="20"/>
          <w:szCs w:val="20"/>
        </w:rPr>
        <w:t xml:space="preserve"> 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2B1D8D" w:rsidRPr="00B91802" w:rsidRDefault="002B1D8D" w:rsidP="00B91802">
      <w:pPr>
        <w:pStyle w:val="Heading1"/>
        <w:widowControl w:val="0"/>
        <w:numPr>
          <w:ilvl w:val="0"/>
          <w:numId w:val="16"/>
        </w:numPr>
        <w:ind w:left="360"/>
        <w:rPr>
          <w:bCs w:val="0"/>
          <w:sz w:val="20"/>
          <w:szCs w:val="20"/>
        </w:rPr>
      </w:pPr>
      <w:r w:rsidRPr="00B91802">
        <w:rPr>
          <w:b/>
          <w:sz w:val="20"/>
          <w:szCs w:val="20"/>
        </w:rPr>
        <w:t>TRANSFERÊNCIA A TERCEIROS.</w:t>
      </w:r>
      <w:r w:rsidRPr="00B91802">
        <w:rPr>
          <w:bCs w:val="0"/>
          <w:sz w:val="20"/>
          <w:szCs w:val="20"/>
        </w:rPr>
        <w:t xml:space="preserve"> O primeiro usuário do software pode transferir o presente contrato, as CALs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o presente contrato se aplique à transferência e ao uso do software. O primeiro usuário não pode reter quaisquer instâncias do software, a menos que esse usuário também retenha outra licença do software.</w:t>
      </w:r>
    </w:p>
    <w:p w:rsidR="002B1D8D" w:rsidRPr="00B91802" w:rsidRDefault="002B1D8D" w:rsidP="00B91802">
      <w:pPr>
        <w:pStyle w:val="Heading1"/>
        <w:widowControl w:val="0"/>
        <w:numPr>
          <w:ilvl w:val="0"/>
          <w:numId w:val="16"/>
        </w:numPr>
        <w:ind w:left="360"/>
        <w:rPr>
          <w:bCs w:val="0"/>
          <w:sz w:val="20"/>
          <w:szCs w:val="20"/>
        </w:rPr>
      </w:pPr>
      <w:r w:rsidRPr="00B91802">
        <w:rPr>
          <w:b/>
          <w:sz w:val="20"/>
          <w:szCs w:val="20"/>
        </w:rPr>
        <w:t>RESTRIÇÕES DE EXPORTAÇÃO.</w:t>
      </w:r>
      <w:r w:rsidRPr="00B91802">
        <w:rPr>
          <w:bCs w:val="0"/>
          <w:sz w:val="20"/>
          <w:szCs w:val="20"/>
        </w:rPr>
        <w:t xml:space="preserve"> 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w:t>
      </w:r>
      <w:r w:rsidR="00B744C2" w:rsidRPr="00B91802">
        <w:rPr>
          <w:bCs w:val="0"/>
          <w:sz w:val="20"/>
          <w:szCs w:val="20"/>
        </w:rPr>
        <w:t>Para obter informações adicionais, consulte o site www.microsoft.com/exporting.</w:t>
      </w:r>
    </w:p>
    <w:p w:rsidR="002B1D8D" w:rsidRPr="00B91802" w:rsidRDefault="002B1D8D" w:rsidP="00B91802">
      <w:pPr>
        <w:pStyle w:val="Heading1"/>
        <w:widowControl w:val="0"/>
        <w:numPr>
          <w:ilvl w:val="0"/>
          <w:numId w:val="16"/>
        </w:numPr>
        <w:ind w:left="360"/>
        <w:rPr>
          <w:bCs w:val="0"/>
          <w:sz w:val="20"/>
          <w:szCs w:val="20"/>
        </w:rPr>
      </w:pPr>
      <w:r w:rsidRPr="00B91802">
        <w:rPr>
          <w:b/>
          <w:sz w:val="20"/>
          <w:szCs w:val="20"/>
        </w:rPr>
        <w:t>ACORDO INTEGRAL.</w:t>
      </w:r>
      <w:r w:rsidRPr="00B91802">
        <w:rPr>
          <w:bCs w:val="0"/>
          <w:sz w:val="20"/>
          <w:szCs w:val="20"/>
        </w:rPr>
        <w:t xml:space="preserve"> O presente contrato e os termos dos suplementos, das atualizações e dos serviços de Internet constituem o acordo integral referente ao software.</w:t>
      </w:r>
    </w:p>
    <w:p w:rsidR="002B1D8D" w:rsidRPr="00B91802" w:rsidRDefault="002B1D8D" w:rsidP="00B91802">
      <w:pPr>
        <w:pStyle w:val="Heading1"/>
        <w:widowControl w:val="0"/>
        <w:numPr>
          <w:ilvl w:val="0"/>
          <w:numId w:val="16"/>
        </w:numPr>
        <w:ind w:left="360"/>
        <w:rPr>
          <w:bCs w:val="0"/>
          <w:sz w:val="20"/>
          <w:szCs w:val="20"/>
        </w:rPr>
      </w:pPr>
      <w:r w:rsidRPr="00B91802">
        <w:rPr>
          <w:b/>
          <w:sz w:val="20"/>
          <w:szCs w:val="20"/>
        </w:rPr>
        <w:t>EFEITO LEGAL.</w:t>
      </w:r>
      <w:r w:rsidRPr="00B91802">
        <w:rPr>
          <w:bCs w:val="0"/>
          <w:sz w:val="20"/>
          <w:szCs w:val="20"/>
        </w:rPr>
        <w:t xml:space="preserve"> 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2B1D8D" w:rsidRPr="00B91802" w:rsidRDefault="002B1D8D" w:rsidP="00B91802">
      <w:pPr>
        <w:pStyle w:val="Heading1"/>
        <w:widowControl w:val="0"/>
        <w:numPr>
          <w:ilvl w:val="0"/>
          <w:numId w:val="16"/>
        </w:numPr>
        <w:ind w:left="360"/>
        <w:rPr>
          <w:b/>
          <w:sz w:val="20"/>
          <w:szCs w:val="20"/>
        </w:rPr>
      </w:pPr>
      <w:r w:rsidRPr="00B91802">
        <w:rPr>
          <w:b/>
          <w:sz w:val="20"/>
          <w:szCs w:val="20"/>
        </w:rPr>
        <w:t>TOLERÂNCIA/PROTEÇÃO A FALHAS. O SOFTWARE NÃO É TOLERANTE A FALHAS. O</w:t>
      </w:r>
      <w:r w:rsidR="00B91802">
        <w:rPr>
          <w:b/>
          <w:sz w:val="20"/>
          <w:szCs w:val="20"/>
        </w:rPr>
        <w:t> </w:t>
      </w:r>
      <w:r w:rsidRPr="00B91802">
        <w:rPr>
          <w:b/>
          <w:sz w:val="20"/>
          <w:szCs w:val="20"/>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2B1D8D" w:rsidRPr="00B91802" w:rsidRDefault="002B1D8D" w:rsidP="00B91802">
      <w:pPr>
        <w:pStyle w:val="Heading1"/>
        <w:widowControl w:val="0"/>
        <w:numPr>
          <w:ilvl w:val="0"/>
          <w:numId w:val="16"/>
        </w:numPr>
        <w:ind w:left="360"/>
        <w:rPr>
          <w:b/>
          <w:sz w:val="20"/>
          <w:szCs w:val="20"/>
        </w:rPr>
      </w:pPr>
      <w:r w:rsidRPr="00B91802">
        <w:rPr>
          <w:b/>
          <w:sz w:val="20"/>
          <w:szCs w:val="20"/>
        </w:rPr>
        <w:t>INEXISTÊNCIA DE OUTRAS GARANTIAS DA MICROSOFT. VOCÊ CONCORDA QUE, CASO</w:t>
      </w:r>
      <w:r w:rsidR="00B91802">
        <w:rPr>
          <w:b/>
          <w:sz w:val="20"/>
          <w:szCs w:val="20"/>
        </w:rPr>
        <w:t> </w:t>
      </w:r>
      <w:r w:rsidRPr="00B91802">
        <w:rPr>
          <w:b/>
          <w:sz w:val="20"/>
          <w:szCs w:val="20"/>
        </w:rPr>
        <w:t>TENHA RECEBIDO QUAISQUER GARANTIAS NO QUE DIZ RESPEITO (A) AO SOFTWARE OU (B) AO SOFTWARE APLICATIVO OU CONJUNTO DE APLICATIVOS COM</w:t>
      </w:r>
      <w:r w:rsidR="00B91802">
        <w:rPr>
          <w:b/>
          <w:sz w:val="20"/>
          <w:szCs w:val="20"/>
        </w:rPr>
        <w:t> </w:t>
      </w:r>
      <w:r w:rsidRPr="00B91802">
        <w:rPr>
          <w:b/>
          <w:sz w:val="20"/>
          <w:szCs w:val="20"/>
        </w:rPr>
        <w:t>O</w:t>
      </w:r>
      <w:r w:rsidR="00B91802">
        <w:rPr>
          <w:b/>
          <w:sz w:val="20"/>
          <w:szCs w:val="20"/>
        </w:rPr>
        <w:t> </w:t>
      </w:r>
      <w:r w:rsidRPr="00B91802">
        <w:rPr>
          <w:b/>
          <w:sz w:val="20"/>
          <w:szCs w:val="20"/>
        </w:rPr>
        <w:t>QUAL ADQUIRIU O SOFTWARE, ESSAS GARANTIAS SERÃO FORNECIDAS EXCLUSIVAMENTE PELO LICENCIANTE, NÃO SENDO ORIGINÁRIAS DA MICROSOFT NEM ESTANDO VINCULADAS A ELA.</w:t>
      </w:r>
    </w:p>
    <w:p w:rsidR="002B1D8D" w:rsidRPr="00B91802" w:rsidRDefault="002B1D8D" w:rsidP="00B91802">
      <w:pPr>
        <w:pStyle w:val="Heading1"/>
        <w:widowControl w:val="0"/>
        <w:numPr>
          <w:ilvl w:val="0"/>
          <w:numId w:val="16"/>
        </w:numPr>
        <w:ind w:left="360"/>
        <w:rPr>
          <w:b/>
          <w:sz w:val="20"/>
          <w:szCs w:val="20"/>
        </w:rPr>
      </w:pPr>
      <w:r w:rsidRPr="00B91802">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2B1D8D" w:rsidRPr="00B91802" w:rsidRDefault="002B1D8D" w:rsidP="00B91802">
      <w:pPr>
        <w:pStyle w:val="Heading1"/>
        <w:widowControl w:val="0"/>
        <w:numPr>
          <w:ilvl w:val="0"/>
          <w:numId w:val="16"/>
        </w:numPr>
        <w:ind w:left="360"/>
        <w:rPr>
          <w:b/>
          <w:sz w:val="20"/>
          <w:szCs w:val="20"/>
        </w:rPr>
      </w:pPr>
      <w:r w:rsidRPr="00B91802">
        <w:rPr>
          <w:b/>
          <w:sz w:val="20"/>
          <w:szCs w:val="20"/>
        </w:rPr>
        <w:t xml:space="preserve">APENAS PARA A AUSTRÁLIA. </w:t>
      </w:r>
      <w:r w:rsidR="00B744C2" w:rsidRPr="00B91802">
        <w:rPr>
          <w:b/>
          <w:sz w:val="20"/>
          <w:szCs w:val="20"/>
        </w:rPr>
        <w:t>Neste parágrafo, “mercadorias” se refere ao software para o qual a Microsoft fornece a garantia contratual.</w:t>
      </w:r>
      <w:r w:rsidRPr="00B91802">
        <w:rPr>
          <w:b/>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 </w:t>
      </w:r>
      <w:r w:rsidR="00B744C2" w:rsidRPr="00B91802">
        <w:rPr>
          <w:b/>
          <w:sz w:val="20"/>
          <w:szCs w:val="20"/>
        </w:rPr>
        <w:t>As mercadorias apresentadas para reparo podem ser substituídas por mercadorias recondicionadas do mesmo tipo em vez de serem substituídas.</w:t>
      </w:r>
      <w:r w:rsidRPr="00B91802">
        <w:rPr>
          <w:b/>
          <w:sz w:val="20"/>
          <w:szCs w:val="20"/>
        </w:rPr>
        <w:t xml:space="preserve"> </w:t>
      </w:r>
      <w:r w:rsidR="00B744C2" w:rsidRPr="00B91802">
        <w:rPr>
          <w:b/>
          <w:sz w:val="20"/>
          <w:szCs w:val="20"/>
        </w:rPr>
        <w:t>Peças recondicionadas podem ser usadas para reparar as mercadorias.</w:t>
      </w:r>
    </w:p>
    <w:p w:rsidR="002B1D8D" w:rsidRPr="000D75A7" w:rsidRDefault="00B744C2" w:rsidP="00A42448">
      <w:pPr>
        <w:rPr>
          <w:b w:val="0"/>
          <w:sz w:val="19"/>
        </w:rPr>
      </w:pPr>
      <w:r w:rsidRPr="000D75A7">
        <w:rPr>
          <w:b w:val="0"/>
          <w:sz w:val="19"/>
        </w:rPr>
        <w:t>Microsoft, SQL Server e Windows Server são marcas comerciais registradas da Microsoft Corporation nos Estados Unidos e/ou em outros países.</w:t>
      </w:r>
    </w:p>
    <w:sectPr w:rsidR="002B1D8D" w:rsidRPr="000D75A7" w:rsidSect="00D35C52">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5D75" w:rsidRDefault="00C15D75" w:rsidP="00A42448">
      <w:r>
        <w:separator/>
      </w:r>
    </w:p>
    <w:p w:rsidR="00C15D75" w:rsidRDefault="00C15D75" w:rsidP="00A42448"/>
    <w:p w:rsidR="00C15D75" w:rsidRDefault="00C15D75" w:rsidP="00A42448"/>
    <w:p w:rsidR="00C15D75" w:rsidRDefault="00C15D75" w:rsidP="009D2719"/>
  </w:endnote>
  <w:endnote w:type="continuationSeparator" w:id="0">
    <w:p w:rsidR="00C15D75" w:rsidRDefault="00C15D75" w:rsidP="00A42448">
      <w:r>
        <w:continuationSeparator/>
      </w:r>
    </w:p>
    <w:p w:rsidR="00C15D75" w:rsidRDefault="00C15D75" w:rsidP="00A42448"/>
    <w:p w:rsidR="00C15D75" w:rsidRDefault="00C15D75" w:rsidP="00A42448"/>
    <w:p w:rsidR="00C15D75" w:rsidRDefault="00C15D75" w:rsidP="009D27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1D8D" w:rsidRPr="00322DC5" w:rsidRDefault="002B1D8D" w:rsidP="003162FC">
    <w:pPr>
      <w:pStyle w:val="Footer"/>
      <w:rPr>
        <w:rStyle w:val="LogoportDoNotTranslate"/>
        <w:rFonts w:ascii="Tahoma" w:hAnsi="Tahoma"/>
        <w:b w:val="0"/>
        <w:color w:val="auto"/>
        <w:lang w:val="en-US"/>
      </w:rPr>
    </w:pPr>
    <w:r w:rsidRPr="00322DC5">
      <w:rPr>
        <w:rStyle w:val="LogoportDoNotTranslate"/>
        <w:rFonts w:ascii="Tahoma" w:hAnsi="Tahoma"/>
        <w:b w:val="0"/>
        <w:color w:val="auto"/>
        <w:lang w:val="en-US"/>
      </w:rPr>
      <w:t>ISV Royalty Agreement EULA (</w:t>
    </w:r>
    <w:r w:rsidR="003162FC">
      <w:rPr>
        <w:rStyle w:val="LogoportDoNotTranslate"/>
        <w:rFonts w:ascii="Tahoma" w:hAnsi="Tahoma"/>
        <w:b w:val="0"/>
        <w:color w:val="auto"/>
        <w:lang w:val="en-US"/>
      </w:rPr>
      <w:t>July</w:t>
    </w:r>
    <w:r w:rsidRPr="00322DC5">
      <w:rPr>
        <w:rStyle w:val="LogoportDoNotTranslate"/>
        <w:rFonts w:ascii="Tahoma" w:hAnsi="Tahoma"/>
        <w:b w:val="0"/>
        <w:color w:val="auto"/>
        <w:lang w:val="en-US"/>
      </w:rPr>
      <w:t xml:space="preserve"> 1, 2014)</w:t>
    </w:r>
    <w:r w:rsidRPr="00322DC5">
      <w:rPr>
        <w:rStyle w:val="LogoportDoNotTranslate"/>
        <w:rFonts w:ascii="Tahoma" w:hAnsi="Tahoma"/>
        <w:b w:val="0"/>
        <w:color w:val="auto"/>
        <w:lang w:val="en-US"/>
      </w:rPr>
      <w:tab/>
    </w:r>
    <w:r w:rsidRPr="00322DC5">
      <w:rPr>
        <w:rStyle w:val="LogoportDoNotTranslate"/>
        <w:rFonts w:ascii="Tahoma" w:hAnsi="Tahoma"/>
        <w:b w:val="0"/>
        <w:color w:val="auto"/>
        <w:lang w:val="en-US"/>
      </w:rPr>
      <w:tab/>
      <w:t xml:space="preserve">Page </w:t>
    </w:r>
    <w:r w:rsidRPr="00D35C52">
      <w:rPr>
        <w:rStyle w:val="LogoportDoNotTranslate"/>
        <w:rFonts w:ascii="Tahoma" w:hAnsi="Tahoma"/>
        <w:b w:val="0"/>
        <w:color w:val="auto"/>
      </w:rPr>
      <w:fldChar w:fldCharType="begin"/>
    </w:r>
    <w:r w:rsidRPr="00322DC5">
      <w:rPr>
        <w:rStyle w:val="LogoportDoNotTranslate"/>
        <w:rFonts w:ascii="Tahoma" w:hAnsi="Tahoma"/>
        <w:b w:val="0"/>
        <w:color w:val="auto"/>
        <w:lang w:val="en-US"/>
      </w:rPr>
      <w:instrText xml:space="preserve"> PAGE </w:instrText>
    </w:r>
    <w:r w:rsidRPr="00D35C52">
      <w:rPr>
        <w:rStyle w:val="LogoportDoNotTranslate"/>
        <w:rFonts w:ascii="Tahoma" w:hAnsi="Tahoma"/>
        <w:b w:val="0"/>
        <w:color w:val="auto"/>
      </w:rPr>
      <w:fldChar w:fldCharType="separate"/>
    </w:r>
    <w:r w:rsidR="00472EFB">
      <w:rPr>
        <w:rStyle w:val="LogoportDoNotTranslate"/>
        <w:rFonts w:ascii="Tahoma" w:hAnsi="Tahoma"/>
        <w:b w:val="0"/>
        <w:noProof/>
        <w:color w:val="auto"/>
        <w:lang w:val="en-US"/>
      </w:rPr>
      <w:t>2</w:t>
    </w:r>
    <w:r w:rsidRPr="00D35C52">
      <w:rPr>
        <w:rStyle w:val="LogoportDoNotTranslate"/>
        <w:rFonts w:ascii="Tahoma" w:hAnsi="Tahoma"/>
        <w:b w:val="0"/>
        <w:color w:val="auto"/>
      </w:rPr>
      <w:fldChar w:fldCharType="end"/>
    </w:r>
    <w:r w:rsidRPr="00322DC5">
      <w:rPr>
        <w:rStyle w:val="LogoportDoNotTranslate"/>
        <w:rFonts w:ascii="Tahoma" w:hAnsi="Tahoma"/>
        <w:b w:val="0"/>
        <w:color w:val="auto"/>
        <w:lang w:val="en-US"/>
      </w:rPr>
      <w:t xml:space="preserve"> of </w:t>
    </w:r>
    <w:r w:rsidRPr="00D35C52">
      <w:rPr>
        <w:rStyle w:val="LogoportDoNotTranslate"/>
        <w:rFonts w:ascii="Tahoma" w:hAnsi="Tahoma"/>
        <w:b w:val="0"/>
        <w:color w:val="auto"/>
      </w:rPr>
      <w:fldChar w:fldCharType="begin"/>
    </w:r>
    <w:r w:rsidRPr="00322DC5">
      <w:rPr>
        <w:rStyle w:val="LogoportDoNotTranslate"/>
        <w:rFonts w:ascii="Tahoma" w:hAnsi="Tahoma"/>
        <w:b w:val="0"/>
        <w:color w:val="auto"/>
        <w:lang w:val="en-US"/>
      </w:rPr>
      <w:instrText xml:space="preserve"> NUMPAGES </w:instrText>
    </w:r>
    <w:r w:rsidRPr="00D35C52">
      <w:rPr>
        <w:rStyle w:val="LogoportDoNotTranslate"/>
        <w:rFonts w:ascii="Tahoma" w:hAnsi="Tahoma"/>
        <w:b w:val="0"/>
        <w:color w:val="auto"/>
      </w:rPr>
      <w:fldChar w:fldCharType="separate"/>
    </w:r>
    <w:r w:rsidR="00472EFB">
      <w:rPr>
        <w:rStyle w:val="LogoportDoNotTranslate"/>
        <w:rFonts w:ascii="Tahoma" w:hAnsi="Tahoma"/>
        <w:b w:val="0"/>
        <w:noProof/>
        <w:color w:val="auto"/>
        <w:lang w:val="en-US"/>
      </w:rPr>
      <w:t>2</w:t>
    </w:r>
    <w:r w:rsidRPr="00D35C52">
      <w:rPr>
        <w:rStyle w:val="LogoportDoNotTranslate"/>
        <w:rFonts w:ascii="Tahoma" w:hAnsi="Tahoma"/>
        <w:b w:val="0"/>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5D75" w:rsidRPr="0050767B" w:rsidRDefault="00C15D75" w:rsidP="0050767B">
      <w:pPr>
        <w:spacing w:before="0" w:after="0"/>
        <w:rPr>
          <w:b w:val="0"/>
          <w:bCs/>
          <w:sz w:val="20"/>
          <w:szCs w:val="20"/>
        </w:rPr>
      </w:pPr>
      <w:r w:rsidRPr="0050767B">
        <w:rPr>
          <w:b w:val="0"/>
          <w:bCs/>
          <w:sz w:val="20"/>
          <w:szCs w:val="20"/>
        </w:rPr>
        <w:separator/>
      </w:r>
    </w:p>
  </w:footnote>
  <w:footnote w:type="continuationSeparator" w:id="0">
    <w:p w:rsidR="00C15D75" w:rsidRDefault="00C15D75" w:rsidP="005E2A78">
      <w:pPr>
        <w:spacing w:before="0" w:after="0"/>
      </w:pPr>
      <w:r w:rsidRPr="0050767B">
        <w:rPr>
          <w:sz w:val="20"/>
          <w:szCs w:val="20"/>
        </w:rPr>
        <w:continuationSeparator/>
      </w:r>
    </w:p>
  </w:footnote>
  <w:footnote w:type="continuationNotice" w:id="1">
    <w:p w:rsidR="00C15D75" w:rsidRPr="005A37C2" w:rsidRDefault="00C15D75" w:rsidP="005A37C2">
      <w:pPr>
        <w:pStyle w:val="Footer"/>
        <w:rPr>
          <w:sz w:val="2"/>
          <w:szCs w:val="2"/>
          <w:lang w:val="en-US"/>
        </w:rPr>
      </w:pPr>
    </w:p>
  </w:footnote>
  <w:footnote w:id="2">
    <w:p w:rsidR="003672B0" w:rsidRPr="00B8576A" w:rsidRDefault="003672B0" w:rsidP="000635A6">
      <w:pPr>
        <w:pStyle w:val="FootnoteText"/>
        <w:tabs>
          <w:tab w:val="left" w:pos="126"/>
        </w:tabs>
        <w:rPr>
          <w:sz w:val="16"/>
          <w:szCs w:val="16"/>
        </w:rPr>
      </w:pPr>
      <w:r w:rsidRPr="00B8576A">
        <w:rPr>
          <w:rStyle w:val="FootnoteReference"/>
          <w:sz w:val="16"/>
          <w:szCs w:val="16"/>
        </w:rPr>
        <w:footnoteRef/>
      </w:r>
      <w:r w:rsidR="000F26F8" w:rsidRPr="00B8576A">
        <w:rPr>
          <w:sz w:val="16"/>
          <w:szCs w:val="16"/>
        </w:rPr>
        <w:tab/>
      </w:r>
      <w:r w:rsidRPr="00B8576A">
        <w:rPr>
          <w:sz w:val="16"/>
          <w:szCs w:val="16"/>
        </w:rPr>
        <w:t>LICENCIANTE: Para software licenciado “Academic Edition”, especifique o nome.</w:t>
      </w:r>
      <w:r w:rsidR="00322DC5">
        <w:rPr>
          <w:sz w:val="16"/>
          <w:szCs w:val="16"/>
        </w:rPr>
        <w:t xml:space="preserve"> </w:t>
      </w:r>
      <w:r w:rsidRPr="00B8576A">
        <w:rPr>
          <w:sz w:val="16"/>
          <w:szCs w:val="16"/>
        </w:rPr>
        <w:t>Por exemplo: Microsoft</w:t>
      </w:r>
      <w:r w:rsidR="00B8576A" w:rsidRPr="00B8576A">
        <w:rPr>
          <w:rFonts w:ascii="Book Antiqua" w:hAnsi="Book Antiqua" w:cs="Book Antiqua"/>
          <w:sz w:val="16"/>
          <w:szCs w:val="16"/>
          <w:vertAlign w:val="superscript"/>
        </w:rPr>
        <w:sym w:font="Symbol" w:char="00E2"/>
      </w:r>
      <w:r w:rsidRPr="00B8576A">
        <w:rPr>
          <w:sz w:val="16"/>
          <w:szCs w:val="16"/>
        </w:rPr>
        <w:t xml:space="preserve"> SQL Server</w:t>
      </w:r>
      <w:r w:rsidR="001C3996" w:rsidRPr="00B8576A">
        <w:rPr>
          <w:rFonts w:ascii="Book Antiqua" w:hAnsi="Book Antiqua" w:cs="Book Antiqua"/>
          <w:sz w:val="16"/>
          <w:szCs w:val="16"/>
          <w:vertAlign w:val="superscript"/>
        </w:rPr>
        <w:sym w:font="Symbol" w:char="00E2"/>
      </w:r>
      <w:r w:rsidRPr="00B8576A">
        <w:rPr>
          <w:sz w:val="16"/>
          <w:szCs w:val="16"/>
        </w:rPr>
        <w:t xml:space="preserve"> 2014, Business Intelligence Edition e Academic Edition.</w:t>
      </w:r>
    </w:p>
  </w:footnote>
  <w:footnote w:id="3">
    <w:p w:rsidR="003672B0" w:rsidRPr="00D35C52" w:rsidRDefault="003672B0" w:rsidP="000635A6">
      <w:pPr>
        <w:pStyle w:val="FootnoteText"/>
        <w:tabs>
          <w:tab w:val="left" w:pos="126"/>
        </w:tabs>
        <w:rPr>
          <w:sz w:val="16"/>
          <w:szCs w:val="16"/>
        </w:rPr>
      </w:pPr>
      <w:r w:rsidRPr="00D35C52">
        <w:rPr>
          <w:rStyle w:val="FootnoteReference"/>
          <w:sz w:val="16"/>
          <w:szCs w:val="16"/>
        </w:rPr>
        <w:footnoteRef/>
      </w:r>
      <w:r w:rsidR="000F26F8">
        <w:rPr>
          <w:sz w:val="16"/>
          <w:szCs w:val="16"/>
        </w:rPr>
        <w:tab/>
      </w:r>
      <w:r w:rsidRPr="00D35C52">
        <w:rPr>
          <w:rFonts w:cs="Arial"/>
          <w:sz w:val="16"/>
          <w:szCs w:val="16"/>
        </w:rPr>
        <w:t xml:space="preserve">LICENCIANTE: </w:t>
      </w:r>
      <w:r w:rsidRPr="00D35C52">
        <w:rPr>
          <w:sz w:val="16"/>
          <w:szCs w:val="16"/>
        </w:rPr>
        <w:t>Especifique o número total de licenças de servidor previstas neste contrato para o usuário final.</w:t>
      </w:r>
    </w:p>
  </w:footnote>
  <w:footnote w:id="4">
    <w:p w:rsidR="003672B0" w:rsidRPr="00D35C52" w:rsidRDefault="003672B0" w:rsidP="000635A6">
      <w:pPr>
        <w:pStyle w:val="FootnoteText"/>
        <w:tabs>
          <w:tab w:val="left" w:pos="126"/>
        </w:tabs>
        <w:rPr>
          <w:sz w:val="16"/>
          <w:szCs w:val="16"/>
        </w:rPr>
      </w:pPr>
      <w:r w:rsidRPr="00D35C52">
        <w:rPr>
          <w:rStyle w:val="FootnoteReference"/>
          <w:sz w:val="16"/>
          <w:szCs w:val="16"/>
        </w:rPr>
        <w:footnoteRef/>
      </w:r>
      <w:r w:rsidR="000F26F8">
        <w:rPr>
          <w:sz w:val="16"/>
          <w:szCs w:val="16"/>
        </w:rPr>
        <w:tab/>
      </w:r>
      <w:r w:rsidRPr="00D35C52">
        <w:rPr>
          <w:rFonts w:cs="Arial"/>
          <w:sz w:val="16"/>
          <w:szCs w:val="16"/>
        </w:rPr>
        <w:t xml:space="preserve">LICENCIANTE: </w:t>
      </w:r>
      <w:r w:rsidRPr="00D35C52">
        <w:rPr>
          <w:sz w:val="16"/>
          <w:szCs w:val="16"/>
        </w:rPr>
        <w:t>Especifique o número total de CALs de usuário que podem acessar direta ou indiretamente as instâncias do software de servidor licenciadas de acordo com este contrato.</w:t>
      </w:r>
    </w:p>
  </w:footnote>
  <w:footnote w:id="5">
    <w:p w:rsidR="003672B0" w:rsidRPr="00D35C52" w:rsidRDefault="003672B0" w:rsidP="000635A6">
      <w:pPr>
        <w:pStyle w:val="FootnoteText"/>
        <w:tabs>
          <w:tab w:val="left" w:pos="126"/>
        </w:tabs>
        <w:spacing w:after="0"/>
        <w:rPr>
          <w:sz w:val="16"/>
          <w:szCs w:val="16"/>
        </w:rPr>
      </w:pPr>
      <w:r w:rsidRPr="00D35C52">
        <w:rPr>
          <w:rStyle w:val="FootnoteReference"/>
          <w:sz w:val="16"/>
          <w:szCs w:val="16"/>
        </w:rPr>
        <w:footnoteRef/>
      </w:r>
      <w:r w:rsidR="000F26F8">
        <w:rPr>
          <w:sz w:val="16"/>
          <w:szCs w:val="16"/>
        </w:rPr>
        <w:tab/>
      </w:r>
      <w:r w:rsidRPr="00D35C52">
        <w:rPr>
          <w:rFonts w:cs="Arial"/>
          <w:sz w:val="16"/>
          <w:szCs w:val="16"/>
        </w:rPr>
        <w:t xml:space="preserve">LICENCIANTE: </w:t>
      </w:r>
      <w:r w:rsidRPr="00D35C52">
        <w:rPr>
          <w:sz w:val="16"/>
          <w:szCs w:val="16"/>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9FA1022"/>
    <w:lvl w:ilvl="0">
      <w:start w:val="1"/>
      <w:numFmt w:val="decimal"/>
      <w:lvlText w:val="%1."/>
      <w:lvlJc w:val="left"/>
      <w:pPr>
        <w:tabs>
          <w:tab w:val="num" w:pos="360"/>
        </w:tabs>
        <w:ind w:left="357" w:hanging="357"/>
      </w:pPr>
      <w:rPr>
        <w:rFonts w:ascii="Tahoma" w:hAnsi="Tahoma" w:cs="Tahoma" w:hint="default"/>
        <w:b/>
        <w:bCs/>
        <w:i w:val="0"/>
        <w:iCs w:val="0"/>
        <w:sz w:val="2"/>
        <w:szCs w:val="2"/>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00B2B6A"/>
    <w:multiLevelType w:val="hybridMultilevel"/>
    <w:tmpl w:val="97F64602"/>
    <w:lvl w:ilvl="0" w:tplc="2444B86A">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6"/>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5"/>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dIei8P2QBBplpg966Wrcy4HXd6ZNiuosyvmVhOg8FlG4p2gEN+LJ7OyedYEkl+6oEjEEuDjkFVZ37ujlBTUqdA==" w:salt="GHuQux8UjWSmsTYagVE2Vw=="/>
  <w:defaultTabStop w:val="720"/>
  <w:hyphenationZone w:val="425"/>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40DD1"/>
    <w:rsid w:val="000544EA"/>
    <w:rsid w:val="000635A6"/>
    <w:rsid w:val="000C4EAB"/>
    <w:rsid w:val="000C7A28"/>
    <w:rsid w:val="000D75A7"/>
    <w:rsid w:val="000E5C95"/>
    <w:rsid w:val="000E7769"/>
    <w:rsid w:val="000F26F8"/>
    <w:rsid w:val="00132CA4"/>
    <w:rsid w:val="0016555F"/>
    <w:rsid w:val="00191F1F"/>
    <w:rsid w:val="001C2EAD"/>
    <w:rsid w:val="001C3996"/>
    <w:rsid w:val="001F6FCD"/>
    <w:rsid w:val="00212AD9"/>
    <w:rsid w:val="00221477"/>
    <w:rsid w:val="00222CC2"/>
    <w:rsid w:val="00235E06"/>
    <w:rsid w:val="002546FC"/>
    <w:rsid w:val="0027324A"/>
    <w:rsid w:val="00284465"/>
    <w:rsid w:val="002A2459"/>
    <w:rsid w:val="002B1D8D"/>
    <w:rsid w:val="002B4348"/>
    <w:rsid w:val="002C1AB1"/>
    <w:rsid w:val="002C32F4"/>
    <w:rsid w:val="002E7788"/>
    <w:rsid w:val="003161C5"/>
    <w:rsid w:val="003162FC"/>
    <w:rsid w:val="00322DC5"/>
    <w:rsid w:val="00343BEB"/>
    <w:rsid w:val="003515DE"/>
    <w:rsid w:val="00366529"/>
    <w:rsid w:val="003672B0"/>
    <w:rsid w:val="003851BF"/>
    <w:rsid w:val="004205A9"/>
    <w:rsid w:val="0042700A"/>
    <w:rsid w:val="004571A5"/>
    <w:rsid w:val="00470398"/>
    <w:rsid w:val="00472EFB"/>
    <w:rsid w:val="00490382"/>
    <w:rsid w:val="004A3BF1"/>
    <w:rsid w:val="004E518D"/>
    <w:rsid w:val="00503803"/>
    <w:rsid w:val="0050767B"/>
    <w:rsid w:val="00532330"/>
    <w:rsid w:val="00553F6A"/>
    <w:rsid w:val="005A37C2"/>
    <w:rsid w:val="005D292B"/>
    <w:rsid w:val="005D7031"/>
    <w:rsid w:val="005E2A78"/>
    <w:rsid w:val="0061691B"/>
    <w:rsid w:val="0062384E"/>
    <w:rsid w:val="006822BE"/>
    <w:rsid w:val="00687105"/>
    <w:rsid w:val="006B7CFF"/>
    <w:rsid w:val="006C5D2E"/>
    <w:rsid w:val="006D30E1"/>
    <w:rsid w:val="00733778"/>
    <w:rsid w:val="00737617"/>
    <w:rsid w:val="00745F62"/>
    <w:rsid w:val="00753CB3"/>
    <w:rsid w:val="00766F17"/>
    <w:rsid w:val="0077280F"/>
    <w:rsid w:val="0077740A"/>
    <w:rsid w:val="007A4020"/>
    <w:rsid w:val="007B0961"/>
    <w:rsid w:val="00812AFB"/>
    <w:rsid w:val="0081436B"/>
    <w:rsid w:val="008547B2"/>
    <w:rsid w:val="008550ED"/>
    <w:rsid w:val="00875156"/>
    <w:rsid w:val="008A66FF"/>
    <w:rsid w:val="008B2B4A"/>
    <w:rsid w:val="008E67D8"/>
    <w:rsid w:val="00922835"/>
    <w:rsid w:val="00970E1F"/>
    <w:rsid w:val="00980024"/>
    <w:rsid w:val="009D2719"/>
    <w:rsid w:val="009E4915"/>
    <w:rsid w:val="009F0905"/>
    <w:rsid w:val="009F7740"/>
    <w:rsid w:val="00A42448"/>
    <w:rsid w:val="00A535D4"/>
    <w:rsid w:val="00A61F21"/>
    <w:rsid w:val="00AB278F"/>
    <w:rsid w:val="00AC1502"/>
    <w:rsid w:val="00AD4548"/>
    <w:rsid w:val="00AE19F7"/>
    <w:rsid w:val="00AE7176"/>
    <w:rsid w:val="00AF1678"/>
    <w:rsid w:val="00B0711D"/>
    <w:rsid w:val="00B6397C"/>
    <w:rsid w:val="00B744C2"/>
    <w:rsid w:val="00B76E8F"/>
    <w:rsid w:val="00B8576A"/>
    <w:rsid w:val="00B91802"/>
    <w:rsid w:val="00BA239E"/>
    <w:rsid w:val="00BA78D1"/>
    <w:rsid w:val="00BF317E"/>
    <w:rsid w:val="00BF4B06"/>
    <w:rsid w:val="00C15D75"/>
    <w:rsid w:val="00C428C1"/>
    <w:rsid w:val="00C70343"/>
    <w:rsid w:val="00CB1C56"/>
    <w:rsid w:val="00CC300A"/>
    <w:rsid w:val="00D35C52"/>
    <w:rsid w:val="00D466CE"/>
    <w:rsid w:val="00D57C6D"/>
    <w:rsid w:val="00D62DEE"/>
    <w:rsid w:val="00D83E85"/>
    <w:rsid w:val="00DE2655"/>
    <w:rsid w:val="00E06470"/>
    <w:rsid w:val="00E23DC2"/>
    <w:rsid w:val="00E254AD"/>
    <w:rsid w:val="00E42ECC"/>
    <w:rsid w:val="00E46D67"/>
    <w:rsid w:val="00E9139C"/>
    <w:rsid w:val="00E91614"/>
    <w:rsid w:val="00E9179B"/>
    <w:rsid w:val="00ED7D66"/>
    <w:rsid w:val="00F64FF9"/>
    <w:rsid w:val="00F76A28"/>
    <w:rsid w:val="00FB16D0"/>
    <w:rsid w:val="00FE1C5D"/>
    <w:rsid w:val="00FF77FE"/>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2448"/>
    <w:pPr>
      <w:spacing w:before="120" w:after="120"/>
      <w:outlineLvl w:val="0"/>
    </w:pPr>
    <w:rPr>
      <w:rFonts w:ascii="Tahoma" w:eastAsia="MS Mincho" w:hAnsi="Tahoma" w:cs="Tahoma"/>
      <w:b/>
      <w:spacing w:val="-2"/>
      <w:sz w:val="24"/>
      <w:szCs w:val="19"/>
      <w:lang w:val="pt-BR"/>
    </w:rPr>
  </w:style>
  <w:style w:type="paragraph" w:styleId="Heading1">
    <w:name w:val="heading 1"/>
    <w:basedOn w:val="Normal"/>
    <w:link w:val="Heading1Char"/>
    <w:uiPriority w:val="99"/>
    <w:qFormat/>
    <w:rsid w:val="001F6FCD"/>
    <w:rPr>
      <w:b w:val="0"/>
      <w:bCs/>
    </w:rPr>
  </w:style>
  <w:style w:type="paragraph" w:styleId="Heading2">
    <w:name w:val="heading 2"/>
    <w:basedOn w:val="Normal"/>
    <w:link w:val="Heading2Char"/>
    <w:uiPriority w:val="99"/>
    <w:qFormat/>
    <w:rsid w:val="001F6FCD"/>
    <w:pPr>
      <w:numPr>
        <w:ilvl w:val="1"/>
        <w:numId w:val="5"/>
      </w:numPr>
      <w:outlineLvl w:val="1"/>
    </w:pPr>
    <w:rPr>
      <w:b w:val="0"/>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Cs/>
      <w:spacing w:val="-2"/>
      <w:sz w:val="24"/>
      <w:szCs w:val="19"/>
      <w:lang w:eastAsia="en-US"/>
    </w:rPr>
  </w:style>
  <w:style w:type="character" w:customStyle="1" w:styleId="Heading2Char">
    <w:name w:val="Heading 2 Char"/>
    <w:link w:val="Heading2"/>
    <w:uiPriority w:val="99"/>
    <w:locked/>
    <w:rsid w:val="001F6FCD"/>
    <w:rPr>
      <w:rFonts w:ascii="Tahoma" w:eastAsia="MS Mincho" w:hAnsi="Tahoma" w:cs="Tahoma"/>
      <w:bCs/>
      <w:spacing w:val="-2"/>
      <w:sz w:val="24"/>
      <w:szCs w:val="19"/>
      <w:lang w:eastAsia="en-US"/>
    </w:rPr>
  </w:style>
  <w:style w:type="character" w:customStyle="1" w:styleId="Heading3Char">
    <w:name w:val="Heading 3 Char"/>
    <w:link w:val="Heading3"/>
    <w:uiPriority w:val="99"/>
    <w:locked/>
    <w:rsid w:val="001F6FCD"/>
    <w:rPr>
      <w:rFonts w:ascii="Tahoma" w:eastAsia="MS Mincho" w:hAnsi="Tahoma" w:cs="Tahoma"/>
      <w:b/>
      <w:spacing w:val="-2"/>
      <w:sz w:val="24"/>
      <w:szCs w:val="19"/>
      <w:lang w:eastAsia="en-US"/>
    </w:rPr>
  </w:style>
  <w:style w:type="character" w:customStyle="1" w:styleId="Heading4Char">
    <w:name w:val="Heading 4 Char"/>
    <w:link w:val="Heading4"/>
    <w:uiPriority w:val="99"/>
    <w:locked/>
    <w:rsid w:val="001F6FCD"/>
    <w:rPr>
      <w:rFonts w:ascii="Tahoma" w:eastAsia="MS Mincho" w:hAnsi="Tahoma" w:cs="Tahoma"/>
      <w:b/>
      <w:spacing w:val="-2"/>
      <w:sz w:val="24"/>
      <w:szCs w:val="19"/>
      <w:lang w:eastAsia="en-US"/>
    </w:rPr>
  </w:style>
  <w:style w:type="character" w:customStyle="1" w:styleId="Heading5Char">
    <w:name w:val="Heading 5 Char"/>
    <w:link w:val="Heading5"/>
    <w:uiPriority w:val="99"/>
    <w:locked/>
    <w:rsid w:val="001F6FCD"/>
    <w:rPr>
      <w:rFonts w:ascii="Tahoma" w:eastAsia="MS Mincho" w:hAnsi="Tahoma" w:cs="Tahoma"/>
      <w:b/>
      <w:spacing w:val="-2"/>
      <w:sz w:val="24"/>
      <w:szCs w:val="19"/>
      <w:lang w:eastAsia="en-US"/>
    </w:rPr>
  </w:style>
  <w:style w:type="character" w:customStyle="1" w:styleId="Heading6Char">
    <w:name w:val="Heading 6 Char"/>
    <w:link w:val="Heading6"/>
    <w:uiPriority w:val="99"/>
    <w:locked/>
    <w:rsid w:val="001F6FCD"/>
    <w:rPr>
      <w:rFonts w:ascii="Tahoma" w:eastAsia="MS Mincho" w:hAnsi="Tahoma" w:cs="Tahoma"/>
      <w:b/>
      <w:spacing w:val="-2"/>
      <w:sz w:val="24"/>
      <w:szCs w:val="19"/>
      <w:lang w:eastAsia="en-US"/>
    </w:rPr>
  </w:style>
  <w:style w:type="character" w:customStyle="1" w:styleId="Heading7Char">
    <w:name w:val="Heading 7 Char"/>
    <w:link w:val="Heading7"/>
    <w:uiPriority w:val="99"/>
    <w:locked/>
    <w:rsid w:val="001F6FCD"/>
    <w:rPr>
      <w:rFonts w:ascii="Tahoma" w:eastAsia="MS Mincho" w:hAnsi="Tahoma" w:cs="Tahoma"/>
      <w:b/>
      <w:spacing w:val="-2"/>
      <w:sz w:val="24"/>
      <w:szCs w:val="19"/>
      <w:lang w:eastAsia="en-US"/>
    </w:rPr>
  </w:style>
  <w:style w:type="character" w:customStyle="1" w:styleId="Heading8Char">
    <w:name w:val="Heading 8 Char"/>
    <w:link w:val="Heading8"/>
    <w:uiPriority w:val="99"/>
    <w:locked/>
    <w:rsid w:val="001F6FCD"/>
    <w:rPr>
      <w:rFonts w:ascii="Tahoma" w:eastAsia="MS Mincho" w:hAnsi="Tahoma" w:cs="Tahoma"/>
      <w:b/>
      <w:spacing w:val="-2"/>
      <w:sz w:val="24"/>
      <w:szCs w:val="19"/>
      <w:lang w:eastAsia="en-US"/>
    </w:rPr>
  </w:style>
  <w:style w:type="character" w:customStyle="1" w:styleId="Heading9Char">
    <w:name w:val="Heading 9 Char"/>
    <w:link w:val="Heading9"/>
    <w:uiPriority w:val="99"/>
    <w:locked/>
    <w:rsid w:val="001F6FCD"/>
    <w:rPr>
      <w:rFonts w:ascii="Tahoma" w:eastAsia="MS Mincho" w:hAnsi="Tahoma" w:cs="Tahoma"/>
      <w:b/>
      <w:spacing w:val="-2"/>
      <w:sz w:val="24"/>
      <w:szCs w:val="19"/>
      <w:lang w:eastAsia="en-US"/>
    </w:rPr>
  </w:style>
  <w:style w:type="paragraph" w:customStyle="1" w:styleId="Body1">
    <w:name w:val="Body 1"/>
    <w:basedOn w:val="Normal"/>
    <w:link w:val="Body1Char1"/>
    <w:uiPriority w:val="99"/>
    <w:rsid w:val="001F6FCD"/>
    <w:pPr>
      <w:ind w:left="357"/>
    </w:p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val="0"/>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val="0"/>
      <w:bCs/>
      <w:sz w:val="28"/>
      <w:szCs w:val="28"/>
    </w:rPr>
  </w:style>
  <w:style w:type="paragraph" w:customStyle="1" w:styleId="Preamble">
    <w:name w:val="Preamble"/>
    <w:basedOn w:val="Normal"/>
    <w:uiPriority w:val="99"/>
    <w:rsid w:val="001F6FCD"/>
    <w:rPr>
      <w:b w:val="0"/>
      <w:bCs/>
    </w:rPr>
  </w:style>
  <w:style w:type="paragraph" w:customStyle="1" w:styleId="HeadingWarranty">
    <w:name w:val="Heading Warranty"/>
    <w:basedOn w:val="Normal"/>
    <w:uiPriority w:val="99"/>
    <w:rsid w:val="001F6FCD"/>
    <w:pPr>
      <w:jc w:val="center"/>
    </w:pPr>
    <w:rPr>
      <w:b w:val="0"/>
      <w:bCs/>
    </w:rPr>
  </w:style>
  <w:style w:type="paragraph" w:customStyle="1" w:styleId="Heading1Warranty">
    <w:name w:val="Heading 1 Warranty"/>
    <w:basedOn w:val="Normal"/>
    <w:next w:val="Normal"/>
    <w:link w:val="Heading1WarrantyCharChar"/>
    <w:uiPriority w:val="99"/>
    <w:rsid w:val="001F6FCD"/>
    <w:pPr>
      <w:numPr>
        <w:numId w:val="4"/>
      </w:numPr>
    </w:p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val="0"/>
      <w:bCs/>
    </w:rPr>
  </w:style>
  <w:style w:type="character" w:styleId="Hyperlink">
    <w:name w:val="Hyperlink"/>
    <w:uiPriority w:val="99"/>
    <w:rsid w:val="001F6FCD"/>
    <w:rPr>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sz w:val="19"/>
    </w:rPr>
  </w:style>
  <w:style w:type="paragraph" w:customStyle="1" w:styleId="Footnote">
    <w:name w:val="Footnote"/>
    <w:basedOn w:val="Normal"/>
    <w:uiPriority w:val="99"/>
    <w:rsid w:val="00E91614"/>
    <w:pPr>
      <w:spacing w:after="0"/>
    </w:pPr>
    <w:rPr>
      <w:rFonts w:eastAsia="Times New Roman" w:cs="Times New Roman"/>
      <w:b w:val="0"/>
      <w:bCs/>
      <w:sz w:val="16"/>
      <w:szCs w:val="16"/>
    </w:rPr>
  </w:style>
  <w:style w:type="paragraph" w:customStyle="1" w:styleId="LicenseNumber">
    <w:name w:val="License Number"/>
    <w:basedOn w:val="Normal"/>
    <w:uiPriority w:val="99"/>
    <w:rsid w:val="00E91614"/>
    <w:pPr>
      <w:spacing w:before="0" w:after="0"/>
    </w:pPr>
    <w:rPr>
      <w:rFonts w:eastAsia="SimSun" w:cs="Times New Roman"/>
      <w:b w:val="0"/>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sz w:val="16"/>
    </w:rPr>
  </w:style>
  <w:style w:type="character" w:styleId="CommentReference">
    <w:name w:val="annotation reference"/>
    <w:uiPriority w:val="99"/>
    <w:semiHidden/>
    <w:rsid w:val="0027324A"/>
    <w:rPr>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sz w:val="20"/>
    </w:rPr>
  </w:style>
  <w:style w:type="paragraph" w:styleId="CommentSubject">
    <w:name w:val="annotation subject"/>
    <w:basedOn w:val="CommentText"/>
    <w:next w:val="CommentText"/>
    <w:link w:val="CommentSubjectChar"/>
    <w:uiPriority w:val="99"/>
    <w:semiHidden/>
    <w:rsid w:val="0027324A"/>
    <w:rPr>
      <w:b w:val="0"/>
      <w:bCs/>
    </w:rPr>
  </w:style>
  <w:style w:type="character" w:customStyle="1" w:styleId="CommentSubjectChar">
    <w:name w:val="Comment Subject Char"/>
    <w:link w:val="CommentSubject"/>
    <w:uiPriority w:val="99"/>
    <w:semiHidden/>
    <w:locked/>
    <w:rsid w:val="0027324A"/>
    <w:rPr>
      <w:rFonts w:ascii="Tahoma" w:eastAsia="MS Mincho" w:hAnsi="Tahoma"/>
      <w:b/>
      <w:sz w:val="20"/>
    </w:rPr>
  </w:style>
  <w:style w:type="character" w:customStyle="1" w:styleId="LogoportMarkup">
    <w:name w:val="LogoportMarkup"/>
    <w:uiPriority w:val="99"/>
    <w:rsid w:val="00733778"/>
    <w:rPr>
      <w:rFonts w:ascii="Courier New" w:hAnsi="Courier New"/>
      <w:color w:val="FF0000"/>
      <w:sz w:val="18"/>
    </w:rPr>
  </w:style>
  <w:style w:type="character" w:customStyle="1" w:styleId="LogoportDoNotTranslate">
    <w:name w:val="LogoportDoNotTranslate"/>
    <w:uiPriority w:val="99"/>
    <w:rsid w:val="00733778"/>
    <w:rPr>
      <w:rFonts w:ascii="Courier New" w:hAnsi="Courier New"/>
      <w:color w:val="808080"/>
      <w:sz w:val="18"/>
    </w:rPr>
  </w:style>
  <w:style w:type="paragraph" w:styleId="FootnoteText">
    <w:name w:val="footnote text"/>
    <w:basedOn w:val="Normal"/>
    <w:link w:val="FootnoteTextChar"/>
    <w:uiPriority w:val="99"/>
    <w:unhideWhenUsed/>
    <w:rsid w:val="003672B0"/>
    <w:rPr>
      <w:sz w:val="20"/>
      <w:szCs w:val="20"/>
    </w:rPr>
  </w:style>
  <w:style w:type="character" w:customStyle="1" w:styleId="FootnoteTextChar">
    <w:name w:val="Footnote Text Char"/>
    <w:link w:val="FootnoteText"/>
    <w:uiPriority w:val="99"/>
    <w:rsid w:val="003672B0"/>
    <w:rPr>
      <w:rFonts w:ascii="Tahoma" w:eastAsia="MS Mincho" w:hAnsi="Tahoma" w:cs="Tahoma"/>
      <w:lang w:val="en-US" w:eastAsia="en-US"/>
    </w:rPr>
  </w:style>
  <w:style w:type="character" w:styleId="FootnoteReference">
    <w:name w:val="footnote reference"/>
    <w:uiPriority w:val="99"/>
    <w:semiHidden/>
    <w:unhideWhenUsed/>
    <w:rsid w:val="003672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1159088">
      <w:bodyDiv w:val="1"/>
      <w:marLeft w:val="0"/>
      <w:marRight w:val="0"/>
      <w:marTop w:val="0"/>
      <w:marBottom w:val="0"/>
      <w:divBdr>
        <w:top w:val="none" w:sz="0" w:space="0" w:color="auto"/>
        <w:left w:val="none" w:sz="0" w:space="0" w:color="auto"/>
        <w:bottom w:val="none" w:sz="0" w:space="0" w:color="auto"/>
        <w:right w:val="none" w:sz="0" w:space="0" w:color="auto"/>
      </w:divBdr>
    </w:div>
    <w:div w:id="12685838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A37D60-3A67-4384-A25B-7EF790717C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C5DB70-F5B5-4252-BD6D-50527D7F7BE6}">
  <ds:schemaRefs>
    <ds:schemaRef ds:uri="http://schemas.microsoft.com/sharepoint/v3/contenttype/forms"/>
  </ds:schemaRefs>
</ds:datastoreItem>
</file>

<file path=customXml/itemProps3.xml><?xml version="1.0" encoding="utf-8"?>
<ds:datastoreItem xmlns:ds="http://schemas.openxmlformats.org/officeDocument/2006/customXml" ds:itemID="{5F6FCD23-5279-4944-AC47-B47E2CC8C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0436365-E38B-4857-AD26-B6FB45BAD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3050</Words>
  <Characters>17386</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20396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2014-03-10T21:56:00Z</dcterms:created>
  <dcterms:modified xsi:type="dcterms:W3CDTF">2014-09-24T21:55:00Z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